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6FD" w:rsidRDefault="00E106FD" w:rsidP="00BF6EA4">
      <w:pPr>
        <w:pStyle w:val="Heading5"/>
        <w:spacing w:before="0" w:beforeAutospacing="0" w:after="120" w:afterAutospacing="0"/>
      </w:pPr>
    </w:p>
    <w:p w:rsidR="00BF6EA4" w:rsidRPr="00BF6EA4" w:rsidRDefault="00BF6EA4" w:rsidP="00BF6EA4">
      <w:pPr>
        <w:pStyle w:val="Heading5"/>
        <w:spacing w:before="0" w:beforeAutospacing="0" w:after="120" w:afterAutospacing="0"/>
      </w:pPr>
      <w:r w:rsidRPr="00BF6EA4">
        <w:t xml:space="preserve">40 CFR Part 60, Subpart JJJJ - Standards of Performance for </w:t>
      </w:r>
      <w:r w:rsidRPr="00BF6EA4">
        <w:rPr>
          <w:rStyle w:val="updatebodytest1"/>
          <w:rFonts w:ascii="Times New Roman" w:hAnsi="Times New Roman" w:cs="Times New Roman"/>
          <w:sz w:val="20"/>
          <w:szCs w:val="20"/>
        </w:rPr>
        <w:t>Stationary Spark Ignition Internal Combustion Engines</w:t>
      </w:r>
    </w:p>
    <w:p w:rsidR="00BF6EA4" w:rsidRPr="00BF6EA4" w:rsidRDefault="00BF6EA4" w:rsidP="00BF6EA4">
      <w:pPr>
        <w:pStyle w:val="NormalWeb"/>
        <w:spacing w:before="0" w:beforeAutospacing="0" w:after="120" w:afterAutospacing="0"/>
        <w:rPr>
          <w:sz w:val="20"/>
          <w:szCs w:val="20"/>
        </w:rPr>
      </w:pPr>
      <w:r w:rsidRPr="00BF6EA4">
        <w:rPr>
          <w:b/>
          <w:bCs/>
          <w:sz w:val="20"/>
          <w:szCs w:val="20"/>
        </w:rPr>
        <w:t>Source:</w:t>
      </w:r>
      <w:r w:rsidRPr="00BF6EA4">
        <w:rPr>
          <w:sz w:val="20"/>
          <w:szCs w:val="20"/>
        </w:rPr>
        <w:t xml:space="preserve">   73 FR 3591, Jan. 18, 2008, unless otherwise noted. </w:t>
      </w:r>
    </w:p>
    <w:p w:rsidR="00BF6EA4" w:rsidRPr="00BF6EA4" w:rsidRDefault="00BF6EA4" w:rsidP="00BF6EA4">
      <w:pPr>
        <w:pStyle w:val="Heading5"/>
        <w:spacing w:before="0" w:beforeAutospacing="0" w:after="120" w:afterAutospacing="0"/>
      </w:pPr>
      <w:r w:rsidRPr="00BF6EA4">
        <w:t>What This Subpart Covers</w:t>
      </w:r>
    </w:p>
    <w:p w:rsidR="00BF6EA4" w:rsidRPr="00BF6EA4" w:rsidRDefault="00BF6EA4" w:rsidP="00BF6EA4">
      <w:pPr>
        <w:pStyle w:val="Heading5"/>
        <w:spacing w:before="0" w:beforeAutospacing="0" w:after="120" w:afterAutospacing="0"/>
      </w:pPr>
      <w:r w:rsidRPr="00BF6EA4">
        <w:t>§ 60.4230   Am I subject to this subpart?</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(a)</w:t>
      </w:r>
      <w:r w:rsidRPr="00BF6EA4">
        <w:rPr>
          <w:sz w:val="20"/>
          <w:szCs w:val="20"/>
        </w:rPr>
        <w:tab/>
        <w:t>The provisions of this subpart are applicable to manufacturers, owners, and operators of stationary spark ignition (SI) internal combustion engines (ICE) as specified in paragraphs (a)(1) through (5) of this section. For the purposes of this subpart, the date that construction commences is the date the engine is ordered by the owner or operator.</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(1)</w:t>
      </w:r>
      <w:r w:rsidRPr="00BF6EA4">
        <w:rPr>
          <w:sz w:val="20"/>
          <w:szCs w:val="20"/>
        </w:rPr>
        <w:tab/>
        <w:t>Manufacturers of stationary SI ICE with a maximum engine power less than or equal to 19 kilowatt (KW) (25 horsepower (HP)) that are manufactured on or after July 1, 2008.</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(2)</w:t>
      </w:r>
      <w:r w:rsidRPr="00BF6EA4">
        <w:rPr>
          <w:sz w:val="20"/>
          <w:szCs w:val="20"/>
        </w:rPr>
        <w:tab/>
        <w:t>Manufacturers of stationary SI ICE with a maximum engine power greater than 19 KW (25 HP) that are gasoline fueled or that are rich burn engines fueled by liquefied petroleum gas (LPG), where the date of manufacture is:</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w:t>
      </w:r>
      <w:r w:rsidRPr="00BF6EA4">
        <w:rPr>
          <w:sz w:val="20"/>
          <w:szCs w:val="20"/>
        </w:rPr>
        <w:tab/>
        <w:t>On or after July 1, 2008; or</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(ii)</w:t>
      </w:r>
      <w:r w:rsidRPr="00BF6EA4">
        <w:rPr>
          <w:sz w:val="20"/>
          <w:szCs w:val="20"/>
        </w:rPr>
        <w:tab/>
        <w:t>On or after January 1, 2009, for emergency engines.</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(3)</w:t>
      </w:r>
      <w:r w:rsidRPr="00BF6EA4">
        <w:rPr>
          <w:sz w:val="20"/>
          <w:szCs w:val="20"/>
        </w:rPr>
        <w:tab/>
        <w:t>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w:t>
      </w:r>
      <w:r w:rsidRPr="00BF6EA4">
        <w:rPr>
          <w:sz w:val="20"/>
          <w:szCs w:val="20"/>
        </w:rPr>
        <w:tab/>
        <w:t>On or after July 1, 2007, for engines with a maximum engine power greater than or equal to 500 HP (except lean burn engines with a maximum engine power greater than or equal to 500 HP and less than 1,350 HP);</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(ii)</w:t>
      </w:r>
      <w:r w:rsidRPr="00BF6EA4">
        <w:rPr>
          <w:sz w:val="20"/>
          <w:szCs w:val="20"/>
        </w:rPr>
        <w:tab/>
        <w:t>On or after January 1, 2008, for lean burn engines with a maximum engine power greater than or equal to 500 HP and less than 1,350 HP;</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(iii)</w:t>
      </w:r>
      <w:r w:rsidRPr="00BF6EA4">
        <w:rPr>
          <w:sz w:val="20"/>
          <w:szCs w:val="20"/>
        </w:rPr>
        <w:tab/>
        <w:t>On or after July 1, 2008, for engines with a maximum engine power less than 500 HP; or</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(iv)</w:t>
      </w:r>
      <w:r w:rsidRPr="00BF6EA4">
        <w:rPr>
          <w:sz w:val="20"/>
          <w:szCs w:val="20"/>
        </w:rPr>
        <w:tab/>
        <w:t>On or after January 1, 2009, for emergency engines.</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(4)</w:t>
      </w:r>
      <w:r w:rsidRPr="00BF6EA4">
        <w:rPr>
          <w:sz w:val="20"/>
          <w:szCs w:val="20"/>
        </w:rPr>
        <w:tab/>
        <w:t>Owners and operators of stationary SI ICE that commence construction after June 12, 2006, where the stationary SI ICE are manufactured:</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w:t>
      </w:r>
      <w:r w:rsidRPr="00BF6EA4">
        <w:rPr>
          <w:sz w:val="20"/>
          <w:szCs w:val="20"/>
        </w:rPr>
        <w:tab/>
        <w:t>On or after July 1, 2007, for engines with a maximum engine power greater than or equal to 500 HP (except lean burn engines with a maximum engine power greater than or equal to 500 HP and less than 1,350 HP);</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(ii)</w:t>
      </w:r>
      <w:r w:rsidRPr="00BF6EA4">
        <w:rPr>
          <w:sz w:val="20"/>
          <w:szCs w:val="20"/>
        </w:rPr>
        <w:tab/>
        <w:t>On or after January 1, 2008, for lean burn engines with a maximum engine power greater than or equal to 500 HP and less than 1,350 HP;</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(iii)</w:t>
      </w:r>
      <w:r w:rsidRPr="00BF6EA4">
        <w:rPr>
          <w:sz w:val="20"/>
          <w:szCs w:val="20"/>
        </w:rPr>
        <w:tab/>
        <w:t>On or after July 1, 2008, for engines with a maximum engine power less than 500 HP; or</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(iv)</w:t>
      </w:r>
      <w:r w:rsidRPr="00BF6EA4">
        <w:rPr>
          <w:sz w:val="20"/>
          <w:szCs w:val="20"/>
        </w:rPr>
        <w:tab/>
        <w:t>On or after January 1, 2009, for emergency engines with a maximum engine power greater than 19 KW (25 HP).</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(5)</w:t>
      </w:r>
      <w:r w:rsidRPr="00BF6EA4">
        <w:rPr>
          <w:sz w:val="20"/>
          <w:szCs w:val="20"/>
        </w:rPr>
        <w:tab/>
        <w:t>Owners and operators of stationary SI ICE that commence modification or reconstruction after June 12, 2006.</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(b)</w:t>
      </w:r>
      <w:r w:rsidRPr="00BF6EA4">
        <w:rPr>
          <w:sz w:val="20"/>
          <w:szCs w:val="20"/>
        </w:rPr>
        <w:tab/>
        <w:t>The provisions of this subpart are not applicable to stationary SI ICE being tested at an engine test cell/stand.</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(c)</w:t>
      </w:r>
      <w:r w:rsidRPr="00BF6EA4">
        <w:rPr>
          <w:sz w:val="20"/>
          <w:szCs w:val="20"/>
        </w:rPr>
        <w:tab/>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(d)</w:t>
      </w:r>
      <w:r w:rsidRPr="00BF6EA4">
        <w:rPr>
          <w:sz w:val="20"/>
          <w:szCs w:val="20"/>
        </w:rPr>
        <w:tab/>
        <w:t>For the purposes of this subpart, stationary SI ICE using alcohol-based fuels are considered gasoline engines.</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(e)</w:t>
      </w:r>
      <w:r w:rsidRPr="00BF6EA4">
        <w:rPr>
          <w:sz w:val="20"/>
          <w:szCs w:val="20"/>
        </w:rPr>
        <w:tab/>
        <w:t>Stationary SI ICE may be eligible for exemption from the requirements of this subpart as described in 40 CFR part 1068, subpart C (or the exemptions described in 40 CFR parts 90 and 1048, for engines that would need to be certified to standards in those parts), except that owners and operators, as well as manufacturers, may be eligible to request an exemption for national security.</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lastRenderedPageBreak/>
        <w:t>(f)</w:t>
      </w:r>
      <w:r w:rsidRPr="00BF6EA4">
        <w:rPr>
          <w:sz w:val="20"/>
          <w:szCs w:val="20"/>
        </w:rPr>
        <w:tab/>
        <w:t>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BF6EA4" w:rsidRPr="00BF6EA4" w:rsidRDefault="00BF6EA4" w:rsidP="00BF6EA4">
      <w:pPr>
        <w:pStyle w:val="Heading5"/>
        <w:spacing w:before="0" w:beforeAutospacing="0" w:after="120" w:afterAutospacing="0"/>
      </w:pPr>
      <w:r w:rsidRPr="00BF6EA4">
        <w:t>Emission Standards for Owners and Operators</w:t>
      </w:r>
    </w:p>
    <w:p w:rsidR="00BF6EA4" w:rsidRPr="00BF6EA4" w:rsidRDefault="00BF6EA4" w:rsidP="00BF6EA4">
      <w:pPr>
        <w:pStyle w:val="Heading5"/>
        <w:spacing w:before="0" w:beforeAutospacing="0" w:after="120" w:afterAutospacing="0"/>
      </w:pPr>
      <w:r w:rsidRPr="00BF6EA4">
        <w:t>§ 60.4233   What emission standards must I meet if I am an owner or operator of a stationary SI internal combustion engine?</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(a)</w:t>
      </w:r>
      <w:r w:rsidRPr="00BF6EA4">
        <w:rPr>
          <w:sz w:val="20"/>
          <w:szCs w:val="20"/>
        </w:rPr>
        <w:tab/>
        <w:t>Owners and operators of stationary SI ICE with a maximum engine power less than or equal to 19 KW (25 HP) manufactured on or after July 1, 2008, must comply with the emission standards in §60.4231(a) for their stationary SI ICE.</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(b)</w:t>
      </w:r>
      <w:r w:rsidRPr="00BF6EA4">
        <w:rPr>
          <w:sz w:val="20"/>
          <w:szCs w:val="20"/>
        </w:rPr>
        <w:tab/>
        <w:t>Owners and operators of stationary SI ICE with a maximum engine power greater than 19 KW (25 HP) manufactured on or after the applicable date in §60.4230(a)(4) that use gasoline must comply with the emission standards in §60.4231(b) for their stationary SI ICE.</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(c)</w:t>
      </w:r>
      <w:r w:rsidRPr="00BF6EA4">
        <w:rPr>
          <w:sz w:val="20"/>
          <w:szCs w:val="20"/>
        </w:rPr>
        <w:tab/>
        <w:t>Owners and operators of stationary SI ICE with a maximum engine power greater than 19 KW (25 HP) manufactured on or after the applicable date in §60.4230(a)(4) that are rich burn engines that use LPG must comply with the emission standards in §60.4231(c) for their stationary SI ICE.</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(d)</w:t>
      </w:r>
      <w:r w:rsidRPr="00BF6EA4">
        <w:rPr>
          <w:sz w:val="20"/>
          <w:szCs w:val="20"/>
        </w:rPr>
        <w:tab/>
        <w:t>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 Owners and operators of stationary SI ICE with a maximum engine power greater than 19 KW (25 HP) and less than 75 KW (100 HP) manufactured prior to January 1, 2011, that were certified to the standards in Table 1 to this subpart applicable to engines with a maximum engine power greater than or equal to 100 HP and less than 500 HP, may optionally choose to meet those standards.</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(e)</w:t>
      </w:r>
      <w:r w:rsidRPr="00BF6EA4">
        <w:rPr>
          <w:sz w:val="20"/>
          <w:szCs w:val="20"/>
        </w:rPr>
        <w:tab/>
        <w:t>Owners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(f)</w:t>
      </w:r>
      <w:r w:rsidRPr="00BF6EA4">
        <w:rPr>
          <w:sz w:val="20"/>
          <w:szCs w:val="20"/>
        </w:rPr>
        <w:tab/>
        <w:t>Owners and operators of any modified or reconstructed stationary SI ICE subject to this subpart must meet the requirements as specified in paragraphs (f)(1) through (5) of this section.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(1)</w:t>
      </w:r>
      <w:r w:rsidRPr="00BF6EA4">
        <w:rPr>
          <w:sz w:val="20"/>
          <w:szCs w:val="20"/>
        </w:rPr>
        <w:tab/>
        <w:t>Owners and operators of stationary SI ICE with a maximum engine power less than or equal to 19 KW (25 HP), that are modified or reconstructed after June 12, 2006, must comply with the same emission standards as those specified in paragraph (a) of this section.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(2)</w:t>
      </w:r>
      <w:r w:rsidRPr="00BF6EA4">
        <w:rPr>
          <w:sz w:val="20"/>
          <w:szCs w:val="20"/>
        </w:rPr>
        <w:tab/>
        <w:t>Owners and operators of stationary SI ICE with a maximum engine power greater than 19 KW (25 HP) that use gasoline engines, that are modified or reconstructed after June 12, 2006, must comply with the same emission standards as those specified in paragraph (b) of this section.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(3)</w:t>
      </w:r>
      <w:r w:rsidRPr="00BF6EA4">
        <w:rPr>
          <w:sz w:val="20"/>
          <w:szCs w:val="20"/>
        </w:rPr>
        <w:tab/>
        <w:t>Owners and operators of stationary SI ICE with a maximum engine power greater than 19 KW (25 HP) that are rich burn engines that use LPG, that are modified or reconstructed after June 12, 2006, must comply with the same emission standards as those specified in paragraph (c) of this section.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(4)</w:t>
      </w:r>
      <w:r w:rsidRPr="00BF6EA4">
        <w:rPr>
          <w:sz w:val="20"/>
          <w:szCs w:val="20"/>
        </w:rPr>
        <w:tab/>
        <w:t>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Pr="00BF6EA4">
        <w:rPr>
          <w:sz w:val="20"/>
          <w:szCs w:val="20"/>
          <w:vertAlign w:val="subscript"/>
        </w:rPr>
        <w:t>X</w:t>
      </w:r>
      <w:r w:rsidRPr="00BF6EA4">
        <w:rPr>
          <w:sz w:val="20"/>
          <w:szCs w:val="20"/>
        </w:rPr>
        <w:t>) emission standard of 3.0 grams per HP-hour (g/HP-hr), a CO emission standard of 4.0 g/HP-hr (5.0 g/HP-hr for non-emergency engines less than 100 HP), and a volatile organic compounds (VOC) emission standard of 1.0 g/HP-hr, or a NO</w:t>
      </w:r>
      <w:r w:rsidRPr="00BF6EA4">
        <w:rPr>
          <w:sz w:val="20"/>
          <w:szCs w:val="20"/>
          <w:vertAlign w:val="subscript"/>
        </w:rPr>
        <w:t xml:space="preserve">X </w:t>
      </w:r>
      <w:r w:rsidRPr="00BF6EA4">
        <w:rPr>
          <w:sz w:val="20"/>
          <w:szCs w:val="20"/>
        </w:rPr>
        <w:t>emission standard of 250 ppmvd at 15 percent oxygen (O</w:t>
      </w:r>
      <w:r w:rsidRPr="00BF6EA4">
        <w:rPr>
          <w:sz w:val="20"/>
          <w:szCs w:val="20"/>
          <w:vertAlign w:val="subscript"/>
        </w:rPr>
        <w:t>2</w:t>
      </w:r>
      <w:r w:rsidRPr="00BF6EA4">
        <w:rPr>
          <w:sz w:val="20"/>
          <w:szCs w:val="20"/>
        </w:rPr>
        <w:t xml:space="preserve">), a CO emission standard 540 ppmvd at 15 </w:t>
      </w:r>
      <w:r w:rsidRPr="00BF6EA4">
        <w:rPr>
          <w:sz w:val="20"/>
          <w:szCs w:val="20"/>
        </w:rPr>
        <w:lastRenderedPageBreak/>
        <w:t>percent O</w:t>
      </w:r>
      <w:r w:rsidRPr="00BF6EA4">
        <w:rPr>
          <w:sz w:val="20"/>
          <w:szCs w:val="20"/>
          <w:vertAlign w:val="subscript"/>
        </w:rPr>
        <w:t>2</w:t>
      </w:r>
      <w:r w:rsidRPr="00BF6EA4">
        <w:rPr>
          <w:sz w:val="20"/>
          <w:szCs w:val="20"/>
        </w:rPr>
        <w:t>(675 ppmvd at 15 percent O</w:t>
      </w:r>
      <w:r w:rsidRPr="00BF6EA4">
        <w:rPr>
          <w:sz w:val="20"/>
          <w:szCs w:val="20"/>
          <w:vertAlign w:val="subscript"/>
        </w:rPr>
        <w:t>2</w:t>
      </w:r>
      <w:r w:rsidRPr="00BF6EA4">
        <w:rPr>
          <w:sz w:val="20"/>
          <w:szCs w:val="20"/>
        </w:rPr>
        <w:t>for non-emergency engines less than 100 HP), and a VOC emission standard of 86 ppmvd at 15 percent O</w:t>
      </w:r>
      <w:r w:rsidRPr="00BF6EA4">
        <w:rPr>
          <w:sz w:val="20"/>
          <w:szCs w:val="20"/>
          <w:vertAlign w:val="subscript"/>
        </w:rPr>
        <w:t>2</w:t>
      </w:r>
      <w:r w:rsidRPr="00BF6EA4">
        <w:rPr>
          <w:sz w:val="20"/>
          <w:szCs w:val="20"/>
        </w:rPr>
        <w:t>, where the date of manufacture of the engine is:</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w:t>
      </w:r>
      <w:r w:rsidRPr="00BF6EA4">
        <w:rPr>
          <w:sz w:val="20"/>
          <w:szCs w:val="20"/>
        </w:rPr>
        <w:tab/>
        <w:t>Prior to July 1, 2007, for non-emergency engines with a maximum engine power greater than or equal to 500 HP;</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(ii)</w:t>
      </w:r>
      <w:r w:rsidRPr="00BF6EA4">
        <w:rPr>
          <w:sz w:val="20"/>
          <w:szCs w:val="20"/>
        </w:rPr>
        <w:tab/>
        <w:t>Prior to July 1, 2008, for non-emergency engines with a maximum engine power less than 500 HP;</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(iii)</w:t>
      </w:r>
      <w:r w:rsidRPr="00BF6EA4">
        <w:rPr>
          <w:sz w:val="20"/>
          <w:szCs w:val="20"/>
        </w:rPr>
        <w:tab/>
        <w:t>Prior to January 1, 2009, for emergency engines.</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(5)</w:t>
      </w:r>
      <w:r w:rsidRPr="00BF6EA4">
        <w:rPr>
          <w:sz w:val="20"/>
          <w:szCs w:val="20"/>
        </w:rPr>
        <w:tab/>
        <w:t>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(g)</w:t>
      </w:r>
      <w:r w:rsidRPr="00BF6EA4">
        <w:rPr>
          <w:sz w:val="20"/>
          <w:szCs w:val="20"/>
        </w:rPr>
        <w:tab/>
        <w:t>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 The request must, at a minimum, demonstrate that the fuel has high sulfur levels that prevent the use of aftertreatment controls and also that the owner has reasonably made all attempts possible to obtain an engine that will meet the standards without the use of aftertreatment controls. The petition must request the most stringent standards reasonably applicable to the engine using the fuel.</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(h)</w:t>
      </w:r>
      <w:r w:rsidRPr="00BF6EA4">
        <w:rPr>
          <w:sz w:val="20"/>
          <w:szCs w:val="20"/>
        </w:rPr>
        <w:tab/>
        <w:t>Owners and operators of stationary SI ICE that are required to meet standards that reference 40 CFR 1048.101 must, if testing their engines in use, meet the standards in that section applicable to field testing, except as indicated in paragraph (e) of this section.</w:t>
      </w:r>
    </w:p>
    <w:p w:rsidR="00BF6EA4" w:rsidRPr="00BF6EA4" w:rsidRDefault="00BF6EA4" w:rsidP="00BF6EA4">
      <w:pPr>
        <w:pStyle w:val="Heading5"/>
        <w:spacing w:before="0" w:beforeAutospacing="0" w:after="120" w:afterAutospacing="0"/>
      </w:pPr>
      <w:r w:rsidRPr="00BF6EA4">
        <w:t>§ 60.4234   How long must I meet the emission standards if I am an owner or operator of a stationary SI internal combustion engine?</w:t>
      </w:r>
    </w:p>
    <w:p w:rsidR="00BF6EA4" w:rsidRPr="00BF6EA4" w:rsidRDefault="00BF6EA4" w:rsidP="00BF6EA4">
      <w:pPr>
        <w:pStyle w:val="NormalWeb"/>
        <w:spacing w:before="0" w:beforeAutospacing="0" w:after="120" w:afterAutospacing="0"/>
        <w:rPr>
          <w:sz w:val="20"/>
          <w:szCs w:val="20"/>
        </w:rPr>
      </w:pPr>
      <w:r w:rsidRPr="00BF6EA4">
        <w:rPr>
          <w:sz w:val="20"/>
          <w:szCs w:val="20"/>
        </w:rPr>
        <w:t>Owners and operators of stationary SI ICE must operate and maintain stationary SI ICE that achieve the emission standards as required in §60.4233 over the entire life of the engine.</w:t>
      </w:r>
    </w:p>
    <w:p w:rsidR="00BF6EA4" w:rsidRPr="00BF6EA4" w:rsidRDefault="00BF6EA4" w:rsidP="00BF6EA4">
      <w:pPr>
        <w:pStyle w:val="Heading5"/>
        <w:spacing w:before="0" w:beforeAutospacing="0" w:after="120" w:afterAutospacing="0"/>
      </w:pPr>
      <w:r w:rsidRPr="00BF6EA4">
        <w:t>Other Requirements for Owners and Operators</w:t>
      </w:r>
    </w:p>
    <w:p w:rsidR="00BF6EA4" w:rsidRPr="00BF6EA4" w:rsidRDefault="00BF6EA4" w:rsidP="00BF6EA4">
      <w:pPr>
        <w:pStyle w:val="Heading5"/>
        <w:spacing w:before="0" w:beforeAutospacing="0" w:after="120" w:afterAutospacing="0"/>
      </w:pPr>
      <w:r w:rsidRPr="00BF6EA4">
        <w:t>§ 60.4235   What fuel requirements must I meet if I am an owner or operator of a stationary SI gasoline fired internal combustion engine subject to this subpart?</w:t>
      </w:r>
    </w:p>
    <w:p w:rsidR="00BF6EA4" w:rsidRPr="00BF6EA4" w:rsidRDefault="00BF6EA4" w:rsidP="00BF6EA4">
      <w:pPr>
        <w:pStyle w:val="NormalWeb"/>
        <w:spacing w:before="0" w:beforeAutospacing="0" w:after="120" w:afterAutospacing="0"/>
        <w:rPr>
          <w:sz w:val="20"/>
          <w:szCs w:val="20"/>
        </w:rPr>
      </w:pPr>
      <w:r w:rsidRPr="00BF6EA4">
        <w:rPr>
          <w:sz w:val="20"/>
          <w:szCs w:val="20"/>
        </w:rPr>
        <w:t>Owners and operators of stationary SI ICE subject to this subpart that use gasoline must use gasoline that meets the per gallon sulfur limit in 40 CFR 80.195.</w:t>
      </w:r>
    </w:p>
    <w:p w:rsidR="00BF6EA4" w:rsidRPr="00BF6EA4" w:rsidRDefault="00BF6EA4" w:rsidP="00BF6EA4">
      <w:pPr>
        <w:pStyle w:val="Heading5"/>
        <w:spacing w:before="0" w:beforeAutospacing="0" w:after="120" w:afterAutospacing="0"/>
      </w:pPr>
      <w:r w:rsidRPr="00BF6EA4">
        <w:t>§ 60.4236   What is the deadline for importing or installing stationary SI ICE produced in the previous model year?</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(a)</w:t>
      </w:r>
      <w:r w:rsidRPr="00BF6EA4">
        <w:rPr>
          <w:sz w:val="20"/>
          <w:szCs w:val="20"/>
        </w:rPr>
        <w:tab/>
        <w:t>After July 1, 2010, owners and operators may not install stationary SI ICE with a maximum engine power of less than 500 HP that do not meet the applicable requirements in §60.4233.</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(b)</w:t>
      </w:r>
      <w:r w:rsidRPr="00BF6EA4">
        <w:rPr>
          <w:sz w:val="20"/>
          <w:szCs w:val="20"/>
        </w:rPr>
        <w:tab/>
        <w:t>After July 1, 2009, owners and operators may not install stationary SI ICE with a maximum engine power of greater than or equal to 500 HP that do not meet the applicable requirements in §60.4233, except that lean burn engines with a maximum engine power greater than or equal to 500 HP and less than 1,350 HP that do not meet the applicable requirements in §60.4233 may not be installed after January 1, 2010.</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(c)</w:t>
      </w:r>
      <w:r w:rsidRPr="00BF6EA4">
        <w:rPr>
          <w:sz w:val="20"/>
          <w:szCs w:val="20"/>
        </w:rPr>
        <w:tab/>
        <w:t>For emergency stationary SI ICE with a maximum engine power of greater than 19 KW (25 HP), owners and operators may not install engines that do not meet the applicable requirements in §60.4233 after January 1, 2011.</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(d)</w:t>
      </w:r>
      <w:r w:rsidRPr="00BF6EA4">
        <w:rPr>
          <w:sz w:val="20"/>
          <w:szCs w:val="20"/>
        </w:rPr>
        <w:tab/>
        <w:t>In addition to the requirements specified in §§60.4231 and 60.4233, it is prohibited to import stationary SI ICE less than or equal to 19 KW (25 HP), stationary rich burn LPG SI ICE, and stationary gasoline SI ICE that do not meet the applicable requirements specified in paragraphs (a), (b), and (c) of this section, after the date specified in paragraph (a), (b), and (c) of this section.</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(e)</w:t>
      </w:r>
      <w:r w:rsidRPr="00BF6EA4">
        <w:rPr>
          <w:sz w:val="20"/>
          <w:szCs w:val="20"/>
        </w:rPr>
        <w:tab/>
        <w:t>The requirements of this section do not apply to owners and operators of stationary SI ICE that have been modified or reconstructed, and they do not apply to engines that were removed from one existing location and reinstalled at a new location.</w:t>
      </w:r>
    </w:p>
    <w:p w:rsidR="00BF6EA4" w:rsidRPr="00BF6EA4" w:rsidRDefault="00BF6EA4" w:rsidP="00BF6EA4">
      <w:pPr>
        <w:pStyle w:val="Heading5"/>
        <w:spacing w:before="0" w:beforeAutospacing="0" w:after="120" w:afterAutospacing="0"/>
      </w:pPr>
      <w:r w:rsidRPr="00BF6EA4">
        <w:t>§ 60.4237   What are the monitoring requirements if I am an owner or operator of an emergency stationary SI internal combustion engine?</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lastRenderedPageBreak/>
        <w:t>(a)</w:t>
      </w:r>
      <w:r w:rsidRPr="00BF6EA4">
        <w:rPr>
          <w:sz w:val="20"/>
          <w:szCs w:val="20"/>
        </w:rPr>
        <w:tab/>
        <w:t>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(b)</w:t>
      </w:r>
      <w:r w:rsidRPr="00BF6EA4">
        <w:rPr>
          <w:sz w:val="20"/>
          <w:szCs w:val="20"/>
        </w:rPr>
        <w:tab/>
        <w:t>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(c)</w:t>
      </w:r>
      <w:r w:rsidRPr="00BF6EA4">
        <w:rPr>
          <w:sz w:val="20"/>
          <w:szCs w:val="20"/>
        </w:rPr>
        <w:tab/>
        <w:t>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rsidR="00BF6EA4" w:rsidRPr="00BF6EA4" w:rsidRDefault="00BF6EA4" w:rsidP="00BF6EA4">
      <w:pPr>
        <w:pStyle w:val="Heading5"/>
        <w:spacing w:before="0" w:beforeAutospacing="0" w:after="120" w:afterAutospacing="0"/>
      </w:pPr>
      <w:r w:rsidRPr="00BF6EA4">
        <w:t>Compliance Requirements for Owners and Operators</w:t>
      </w:r>
    </w:p>
    <w:p w:rsidR="00BF6EA4" w:rsidRPr="00BF6EA4" w:rsidRDefault="00BF6EA4" w:rsidP="00BF6EA4">
      <w:pPr>
        <w:pStyle w:val="Heading5"/>
        <w:spacing w:before="0" w:beforeAutospacing="0" w:after="120" w:afterAutospacing="0"/>
      </w:pPr>
      <w:r w:rsidRPr="00BF6EA4">
        <w:t>§ 60.4243   What are my compliance requirements if I am an owner or operator of a stationary SI internal combustion engine?</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(a)</w:t>
      </w:r>
      <w:r w:rsidRPr="00BF6EA4">
        <w:rPr>
          <w:sz w:val="20"/>
          <w:szCs w:val="20"/>
        </w:rPr>
        <w:tab/>
        <w:t>If you are an owner or operator of a stationary SI internal combustion engine that is manufactured after July 1, 2008, and must comply with the emission standards specified in §60.4233(a) through (c), you must comply by purchasing an engine certified to the emission standards in §60.4231(a) through (c), as applicable, for the same engine class and maximum engine power. You must also meet the requirements as specified in 40 CFR part 1068, subparts A through D, as they apply to you. If you adjust engine settings according to and consistent with the manufacturer's instructions, your stationary SI internal combustion engine will not be considered out of compliance. In addition, you must meet one of the requirements specified in (a)(1) and (2) of this section.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(1)</w:t>
      </w:r>
      <w:r w:rsidRPr="00BF6EA4">
        <w:rPr>
          <w:sz w:val="20"/>
          <w:szCs w:val="20"/>
        </w:rPr>
        <w:tab/>
        <w:t>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(2)</w:t>
      </w:r>
      <w:r w:rsidRPr="00BF6EA4">
        <w:rPr>
          <w:sz w:val="20"/>
          <w:szCs w:val="20"/>
        </w:rPr>
        <w:tab/>
        <w:t>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(a)(2)(i) through (iii) of this section, as appropriate.</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w:t>
      </w:r>
      <w:r w:rsidRPr="00BF6EA4">
        <w:rPr>
          <w:sz w:val="20"/>
          <w:szCs w:val="20"/>
        </w:rPr>
        <w:tab/>
        <w:t>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(ii)</w:t>
      </w:r>
      <w:r w:rsidRPr="00BF6EA4">
        <w:rPr>
          <w:sz w:val="20"/>
          <w:szCs w:val="20"/>
        </w:rPr>
        <w:tab/>
        <w:t>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(iii)</w:t>
      </w:r>
      <w:r w:rsidRPr="00BF6EA4">
        <w:rPr>
          <w:sz w:val="20"/>
          <w:szCs w:val="20"/>
        </w:rPr>
        <w:tab/>
        <w:t>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and conduct subsequent performance testing every 8,760 hours or 3 years, whichever comes first, thereafter to demonstrate compliance.</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(b)</w:t>
      </w:r>
      <w:r w:rsidRPr="00BF6EA4">
        <w:rPr>
          <w:sz w:val="20"/>
          <w:szCs w:val="20"/>
        </w:rPr>
        <w:tab/>
        <w:t>If you are an owner or operator of a stationary SI internal combustion engine and must comply with the emission standards specified in §60.4233(d) or (e), you must demonstrate compliance according to one of the methods specified in paragraphs (b)(1) and (2) of this section.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(1)</w:t>
      </w:r>
      <w:r w:rsidRPr="00BF6EA4">
        <w:rPr>
          <w:sz w:val="20"/>
          <w:szCs w:val="20"/>
        </w:rPr>
        <w:tab/>
        <w:t>Purchasing an engine certified according to procedures specified in this subpart, for the same model year and demonstrating compliance according to one of the methods specified in paragraph (a) of this section.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(2)</w:t>
      </w:r>
      <w:r w:rsidRPr="00BF6EA4">
        <w:rPr>
          <w:sz w:val="20"/>
          <w:szCs w:val="20"/>
        </w:rPr>
        <w:tab/>
        <w:t>Purchasing a non-certified engine and demonstrating compliance with the emission standards specified in §60.4233(d) or (e) and according to the requirements specified in §60.4244, as applicable, and according to paragraphs (b)(2)(i) and (ii) of this section.</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lastRenderedPageBreak/>
        <w:t>(i)</w:t>
      </w:r>
      <w:r w:rsidRPr="00BF6EA4">
        <w:rPr>
          <w:sz w:val="20"/>
          <w:szCs w:val="20"/>
        </w:rPr>
        <w:tab/>
        <w:t>If you are an owner or operator of a stationary SI internal combustion engine greater than 25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w:t>
      </w:r>
    </w:p>
    <w:p w:rsidR="00BF6EA4" w:rsidRPr="00BF6EA4" w:rsidRDefault="00BF6EA4" w:rsidP="00BF6EA4">
      <w:pPr>
        <w:pStyle w:val="NormalWeb"/>
        <w:spacing w:before="0" w:beforeAutospacing="0" w:after="120" w:afterAutospacing="0"/>
        <w:ind w:left="1080" w:hanging="360"/>
        <w:rPr>
          <w:sz w:val="20"/>
          <w:szCs w:val="20"/>
        </w:rPr>
      </w:pPr>
      <w:r w:rsidRPr="00BF6EA4">
        <w:rPr>
          <w:sz w:val="20"/>
          <w:szCs w:val="20"/>
        </w:rPr>
        <w:t>(ii)</w:t>
      </w:r>
      <w:r w:rsidRPr="00BF6EA4">
        <w:rPr>
          <w:sz w:val="20"/>
          <w:szCs w:val="20"/>
        </w:rPr>
        <w:tab/>
        <w:t>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and conduct subsequent performance testing every 8,760 hours or 3 years, whichever comes first, thereafter to demonstrate compliance.</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(c)</w:t>
      </w:r>
      <w:r w:rsidRPr="00BF6EA4">
        <w:rPr>
          <w:sz w:val="20"/>
          <w:szCs w:val="20"/>
        </w:rPr>
        <w:tab/>
        <w:t>If you are an owner or operator of a stationary SI internal combustion engine that must comply with the emission standards specified in §60.4233(f), you must demonstrate compliance according paragraph (b)(2)(i) or (ii) of this section, except that if you comply according to paragraph (b)(2)(i) of this section, you demonstrate that your non-certified engine complies with the emission standards specified in §60.4233(f).</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(d)</w:t>
      </w:r>
      <w:r w:rsidRPr="00BF6EA4">
        <w:rPr>
          <w:sz w:val="20"/>
          <w:szCs w:val="20"/>
        </w:rPr>
        <w:tab/>
        <w:t>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(e)</w:t>
      </w:r>
      <w:r w:rsidRPr="00BF6EA4">
        <w:rPr>
          <w:sz w:val="20"/>
          <w:szCs w:val="20"/>
        </w:rPr>
        <w:tab/>
        <w:t>Owners and operators of stationary SI natural gas fired engines may operate their engines using propane for a maximum of 100 hours per year as an alternative fuel solely during emergency operations, but must keep records of such use. If propane is used for more than 100 hours per year in an engine that is not certified to the emission standards when using propane, the owners and operators are required to conduct a performance test to demonstrate compliance with the emission standards of §60.4233.</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(f)</w:t>
      </w:r>
      <w:r w:rsidRPr="00BF6EA4">
        <w:rPr>
          <w:sz w:val="20"/>
          <w:szCs w:val="20"/>
        </w:rPr>
        <w:tab/>
        <w:t>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repair or maintenance. A rebuilt stationary SI ICE means an engine that has been rebuilt as that term is defined in 40 CFR 94.11(a).</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(g)</w:t>
      </w:r>
      <w:r w:rsidRPr="00BF6EA4">
        <w:rPr>
          <w:sz w:val="20"/>
          <w:szCs w:val="20"/>
        </w:rPr>
        <w:tab/>
        <w:t>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(h)</w:t>
      </w:r>
      <w:r w:rsidRPr="00BF6EA4">
        <w:rPr>
          <w:sz w:val="20"/>
          <w:szCs w:val="20"/>
        </w:rPr>
        <w:tab/>
        <w:t>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(h)(1) through (h)(4) of this section.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(1)</w:t>
      </w:r>
      <w:r w:rsidRPr="00BF6EA4">
        <w:rPr>
          <w:sz w:val="20"/>
          <w:szCs w:val="20"/>
        </w:rPr>
        <w:tab/>
        <w:t>Purchasing an engine certified according to 40 CFR part 1048. The engine must be installed and configured according to the manufacturer's specifications.</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(2)</w:t>
      </w:r>
      <w:r w:rsidRPr="00BF6EA4">
        <w:rPr>
          <w:sz w:val="20"/>
          <w:szCs w:val="20"/>
        </w:rPr>
        <w:tab/>
        <w:t>Keeping records of performance test results for each pollutant for a test conducted on a similar engine. The test must have been conducted using the same methods specified in this subpart and these methods must have been followed correctly.</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lastRenderedPageBreak/>
        <w:t>(3)</w:t>
      </w:r>
      <w:r w:rsidRPr="00BF6EA4">
        <w:rPr>
          <w:sz w:val="20"/>
          <w:szCs w:val="20"/>
        </w:rPr>
        <w:tab/>
        <w:t>Keeping records of engine manufacturer data indicating compliance with the standards.</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(4)</w:t>
      </w:r>
      <w:r w:rsidRPr="00BF6EA4">
        <w:rPr>
          <w:sz w:val="20"/>
          <w:szCs w:val="20"/>
        </w:rPr>
        <w:tab/>
        <w:t>Keeping records of control device vendor data indicating compliance with the standards.</w:t>
      </w:r>
    </w:p>
    <w:p w:rsidR="00BF6EA4" w:rsidRPr="00BF6EA4" w:rsidRDefault="00BF6EA4" w:rsidP="00BF6EA4">
      <w:pPr>
        <w:pStyle w:val="Heading5"/>
        <w:spacing w:before="0" w:beforeAutospacing="0" w:after="120" w:afterAutospacing="0"/>
      </w:pPr>
      <w:r w:rsidRPr="00BF6EA4">
        <w:t>Testing Requirements for Owners and Operators</w:t>
      </w:r>
    </w:p>
    <w:p w:rsidR="00BF6EA4" w:rsidRPr="00BF6EA4" w:rsidRDefault="00BF6EA4" w:rsidP="00BF6EA4">
      <w:pPr>
        <w:pStyle w:val="Heading5"/>
        <w:spacing w:before="0" w:beforeAutospacing="0" w:after="120" w:afterAutospacing="0"/>
      </w:pPr>
      <w:r w:rsidRPr="00BF6EA4">
        <w:t>§ 60.4244   What test methods and other procedures must I use if I am an owner or operator of a stationary SI internal combustion engine?</w:t>
      </w:r>
    </w:p>
    <w:p w:rsidR="00BF6EA4" w:rsidRPr="00BF6EA4" w:rsidRDefault="00BF6EA4" w:rsidP="00BF6EA4">
      <w:pPr>
        <w:pStyle w:val="NormalWeb"/>
        <w:spacing w:before="0" w:beforeAutospacing="0" w:after="120" w:afterAutospacing="0"/>
        <w:rPr>
          <w:sz w:val="20"/>
          <w:szCs w:val="20"/>
        </w:rPr>
      </w:pPr>
      <w:r w:rsidRPr="00BF6EA4">
        <w:rPr>
          <w:sz w:val="20"/>
          <w:szCs w:val="20"/>
        </w:rPr>
        <w:t>Owners and operators of stationary SI ICE who conduct performance tests must follow the procedures in paragraphs (a) through (f) of this section.</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(a)</w:t>
      </w:r>
      <w:r w:rsidRPr="00BF6EA4">
        <w:rPr>
          <w:sz w:val="20"/>
          <w:szCs w:val="20"/>
        </w:rPr>
        <w:tab/>
        <w:t>Each performance test must be conducted within 10 percent of 100 percent peak (or the highest achievable) load and according to the requirements in §60.8 and under the specific conditions that are specified by Table 2 to this subpart.</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(b)</w:t>
      </w:r>
      <w:r w:rsidRPr="00BF6EA4">
        <w:rPr>
          <w:sz w:val="20"/>
          <w:szCs w:val="20"/>
        </w:rPr>
        <w:tab/>
        <w:t>You may not conduct performance tests during periods of startup, shutdown, or malfunction, as specified in §60.8(c). If your stationary SI internal combustion engine is non-operational, you do not need to startup the engine solely to conduct a performance test; however, you must conduct the performance test immediately upon startup of the engine.</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(c)</w:t>
      </w:r>
      <w:r w:rsidRPr="00BF6EA4">
        <w:rPr>
          <w:sz w:val="20"/>
          <w:szCs w:val="20"/>
        </w:rPr>
        <w:tab/>
        <w:t>You must conduct three separate test runs for each performance test required in this section, as specified in §60.8(f). Each test run must be conducted within 10 percent of 100 percent peak (or the highest achievable) load and last at least 1 hour.</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(d)</w:t>
      </w:r>
      <w:r w:rsidRPr="00BF6EA4">
        <w:rPr>
          <w:sz w:val="20"/>
          <w:szCs w:val="20"/>
        </w:rPr>
        <w:tab/>
        <w:t>To determine compliance with the NO</w:t>
      </w:r>
      <w:r w:rsidRPr="00BF6EA4">
        <w:rPr>
          <w:sz w:val="20"/>
          <w:szCs w:val="20"/>
          <w:vertAlign w:val="subscript"/>
        </w:rPr>
        <w:t xml:space="preserve">X </w:t>
      </w:r>
      <w:r w:rsidRPr="00BF6EA4">
        <w:rPr>
          <w:sz w:val="20"/>
          <w:szCs w:val="20"/>
        </w:rPr>
        <w:t>mass per unit output emission limitation, convert the concentration of NO</w:t>
      </w:r>
      <w:r w:rsidRPr="00BF6EA4">
        <w:rPr>
          <w:sz w:val="20"/>
          <w:szCs w:val="20"/>
          <w:vertAlign w:val="subscript"/>
        </w:rPr>
        <w:t xml:space="preserve">X </w:t>
      </w:r>
      <w:r w:rsidRPr="00BF6EA4">
        <w:rPr>
          <w:sz w:val="20"/>
          <w:szCs w:val="20"/>
        </w:rPr>
        <w:t>in the engine exhaust using Equation 1 of this section:</w:t>
      </w:r>
    </w:p>
    <w:p w:rsidR="00BF6EA4" w:rsidRPr="00BF6EA4" w:rsidRDefault="00BF6EA4" w:rsidP="00BF6EA4">
      <w:pPr>
        <w:spacing w:after="120"/>
        <w:jc w:val="center"/>
        <w:rPr>
          <w:rStyle w:val="updatebodytest1"/>
          <w:rFonts w:ascii="Times New Roman" w:hAnsi="Times New Roman" w:cs="Times New Roman"/>
          <w:sz w:val="20"/>
          <w:szCs w:val="20"/>
        </w:rPr>
      </w:pPr>
      <w:r w:rsidRPr="00BF6EA4">
        <w:rPr>
          <w:noProof/>
          <w:sz w:val="20"/>
          <w:szCs w:val="20"/>
        </w:rPr>
        <w:drawing>
          <wp:inline distT="0" distB="0" distL="0" distR="0">
            <wp:extent cx="2402205" cy="354330"/>
            <wp:effectExtent l="19050" t="0" r="0" b="0"/>
            <wp:docPr id="1" name="Picture 1"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18ja08"/>
                    <pic:cNvPicPr>
                      <a:picLocks noChangeAspect="1" noChangeArrowheads="1"/>
                    </pic:cNvPicPr>
                  </pic:nvPicPr>
                  <pic:blipFill>
                    <a:blip r:embed="rId6" cstate="print"/>
                    <a:srcRect/>
                    <a:stretch>
                      <a:fillRect/>
                    </a:stretch>
                  </pic:blipFill>
                  <pic:spPr bwMode="auto">
                    <a:xfrm>
                      <a:off x="0" y="0"/>
                      <a:ext cx="2402205" cy="354330"/>
                    </a:xfrm>
                    <a:prstGeom prst="rect">
                      <a:avLst/>
                    </a:prstGeom>
                    <a:noFill/>
                    <a:ln w="9525">
                      <a:noFill/>
                      <a:miter lim="800000"/>
                      <a:headEnd/>
                      <a:tailEnd/>
                    </a:ln>
                  </pic:spPr>
                </pic:pic>
              </a:graphicData>
            </a:graphic>
          </wp:inline>
        </w:drawing>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Where:</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ER  =  Emission rate of NO</w:t>
      </w:r>
      <w:r w:rsidRPr="00BF6EA4">
        <w:rPr>
          <w:sz w:val="20"/>
          <w:szCs w:val="20"/>
          <w:vertAlign w:val="subscript"/>
        </w:rPr>
        <w:t xml:space="preserve">X </w:t>
      </w:r>
      <w:r w:rsidRPr="00BF6EA4">
        <w:rPr>
          <w:sz w:val="20"/>
          <w:szCs w:val="20"/>
        </w:rPr>
        <w:t>in g/HP-hr.</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C</w:t>
      </w:r>
      <w:r w:rsidRPr="00BF6EA4">
        <w:rPr>
          <w:sz w:val="20"/>
          <w:szCs w:val="20"/>
          <w:vertAlign w:val="subscript"/>
        </w:rPr>
        <w:t>d</w:t>
      </w:r>
      <w:r w:rsidRPr="00BF6EA4">
        <w:rPr>
          <w:sz w:val="20"/>
          <w:szCs w:val="20"/>
        </w:rPr>
        <w:t xml:space="preserve">  =  Measured NO</w:t>
      </w:r>
      <w:r w:rsidRPr="00BF6EA4">
        <w:rPr>
          <w:sz w:val="20"/>
          <w:szCs w:val="20"/>
          <w:vertAlign w:val="subscript"/>
        </w:rPr>
        <w:t xml:space="preserve">X </w:t>
      </w:r>
      <w:r w:rsidRPr="00BF6EA4">
        <w:rPr>
          <w:sz w:val="20"/>
          <w:szCs w:val="20"/>
        </w:rPr>
        <w:t>concentration in parts per million by volume (ppmv).</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1.912×10</w:t>
      </w:r>
      <w:r w:rsidRPr="00BF6EA4">
        <w:rPr>
          <w:sz w:val="20"/>
          <w:szCs w:val="20"/>
          <w:vertAlign w:val="superscript"/>
        </w:rPr>
        <w:t>−3</w:t>
      </w:r>
      <w:r w:rsidRPr="00BF6EA4">
        <w:rPr>
          <w:sz w:val="20"/>
          <w:szCs w:val="20"/>
        </w:rPr>
        <w:t xml:space="preserve">  =  Conversion constant for ppm NO</w:t>
      </w:r>
      <w:r w:rsidRPr="00BF6EA4">
        <w:rPr>
          <w:sz w:val="20"/>
          <w:szCs w:val="20"/>
          <w:vertAlign w:val="subscript"/>
        </w:rPr>
        <w:t xml:space="preserve">X </w:t>
      </w:r>
      <w:r w:rsidRPr="00BF6EA4">
        <w:rPr>
          <w:sz w:val="20"/>
          <w:szCs w:val="20"/>
        </w:rPr>
        <w:t>to grams per standard cubic meter at 20 degrees Celsius.</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Q  =  Stack gas volumetric flow rate, in standard cubic meter per hour, dry basis.</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T  =  Time of test run, in hours.</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HP-hr  =  Brake work of the engine, horsepower-hour (HP-hr).</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(e)</w:t>
      </w:r>
      <w:r w:rsidRPr="00BF6EA4">
        <w:rPr>
          <w:sz w:val="20"/>
          <w:szCs w:val="20"/>
        </w:rPr>
        <w:tab/>
        <w:t>To determine compliance with the CO mass per unit output emission limitation, convert the concentration of CO in the engine exhaust using Equation 2 of this section:</w:t>
      </w:r>
    </w:p>
    <w:p w:rsidR="00BF6EA4" w:rsidRPr="00BF6EA4" w:rsidRDefault="00BF6EA4" w:rsidP="00BF6EA4">
      <w:pPr>
        <w:spacing w:after="120"/>
        <w:jc w:val="center"/>
        <w:rPr>
          <w:rStyle w:val="updatebodytest1"/>
          <w:rFonts w:ascii="Times New Roman" w:hAnsi="Times New Roman" w:cs="Times New Roman"/>
          <w:sz w:val="20"/>
          <w:szCs w:val="20"/>
        </w:rPr>
      </w:pPr>
      <w:r w:rsidRPr="00BF6EA4">
        <w:rPr>
          <w:noProof/>
          <w:sz w:val="20"/>
          <w:szCs w:val="20"/>
        </w:rPr>
        <w:drawing>
          <wp:inline distT="0" distB="0" distL="0" distR="0">
            <wp:extent cx="2402205" cy="354330"/>
            <wp:effectExtent l="19050" t="0" r="0" b="0"/>
            <wp:docPr id="2" name="Picture 2"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18ja08"/>
                    <pic:cNvPicPr>
                      <a:picLocks noChangeAspect="1" noChangeArrowheads="1"/>
                    </pic:cNvPicPr>
                  </pic:nvPicPr>
                  <pic:blipFill>
                    <a:blip r:embed="rId7" cstate="print"/>
                    <a:srcRect/>
                    <a:stretch>
                      <a:fillRect/>
                    </a:stretch>
                  </pic:blipFill>
                  <pic:spPr bwMode="auto">
                    <a:xfrm>
                      <a:off x="0" y="0"/>
                      <a:ext cx="2402205" cy="354330"/>
                    </a:xfrm>
                    <a:prstGeom prst="rect">
                      <a:avLst/>
                    </a:prstGeom>
                    <a:noFill/>
                    <a:ln w="9525">
                      <a:noFill/>
                      <a:miter lim="800000"/>
                      <a:headEnd/>
                      <a:tailEnd/>
                    </a:ln>
                  </pic:spPr>
                </pic:pic>
              </a:graphicData>
            </a:graphic>
          </wp:inline>
        </w:drawing>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Where:</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ER  =  Emission rate of CO in g/HP-hr.</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Cd  =  Measured CO concentration in ppmv.</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1.164×10</w:t>
      </w:r>
      <w:r w:rsidRPr="00BF6EA4">
        <w:rPr>
          <w:sz w:val="20"/>
          <w:szCs w:val="20"/>
          <w:vertAlign w:val="superscript"/>
        </w:rPr>
        <w:t>−3</w:t>
      </w:r>
      <w:r w:rsidRPr="00BF6EA4">
        <w:rPr>
          <w:sz w:val="20"/>
          <w:szCs w:val="20"/>
        </w:rPr>
        <w:t xml:space="preserve">  =  Conversion constant for ppm CO to grams per standard cubic meter at 20 degrees Celsius.</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Q  =  Stack gas volumetric flow rate, in standard cubic meters per hour, dry basis.</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T  =  Time of test run, in hours.</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HP-hr  =  Brake work of the engine, in HP-hr.</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(f)</w:t>
      </w:r>
      <w:r w:rsidRPr="00BF6EA4">
        <w:rPr>
          <w:sz w:val="20"/>
          <w:szCs w:val="20"/>
        </w:rPr>
        <w:tab/>
        <w:t>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rsidR="00BF6EA4" w:rsidRPr="00BF6EA4" w:rsidRDefault="00BF6EA4" w:rsidP="00BF6EA4">
      <w:pPr>
        <w:spacing w:after="120"/>
        <w:jc w:val="center"/>
        <w:rPr>
          <w:rStyle w:val="updatebodytest1"/>
          <w:rFonts w:ascii="Times New Roman" w:hAnsi="Times New Roman" w:cs="Times New Roman"/>
          <w:sz w:val="20"/>
          <w:szCs w:val="20"/>
        </w:rPr>
      </w:pPr>
      <w:r w:rsidRPr="00BF6EA4">
        <w:rPr>
          <w:noProof/>
          <w:sz w:val="20"/>
          <w:szCs w:val="20"/>
        </w:rPr>
        <w:lastRenderedPageBreak/>
        <w:drawing>
          <wp:inline distT="0" distB="0" distL="0" distR="0">
            <wp:extent cx="2402205" cy="354330"/>
            <wp:effectExtent l="19050" t="0" r="0" b="0"/>
            <wp:docPr id="3" name="Picture 3"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18ja08"/>
                    <pic:cNvPicPr>
                      <a:picLocks noChangeAspect="1" noChangeArrowheads="1"/>
                    </pic:cNvPicPr>
                  </pic:nvPicPr>
                  <pic:blipFill>
                    <a:blip r:embed="rId8" cstate="print"/>
                    <a:srcRect/>
                    <a:stretch>
                      <a:fillRect/>
                    </a:stretch>
                  </pic:blipFill>
                  <pic:spPr bwMode="auto">
                    <a:xfrm>
                      <a:off x="0" y="0"/>
                      <a:ext cx="2402205" cy="354330"/>
                    </a:xfrm>
                    <a:prstGeom prst="rect">
                      <a:avLst/>
                    </a:prstGeom>
                    <a:noFill/>
                    <a:ln w="9525">
                      <a:noFill/>
                      <a:miter lim="800000"/>
                      <a:headEnd/>
                      <a:tailEnd/>
                    </a:ln>
                  </pic:spPr>
                </pic:pic>
              </a:graphicData>
            </a:graphic>
          </wp:inline>
        </w:drawing>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Where:</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ER  =  Emission rate of VOC in g/HP-hr.</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Cd  =  VOC concentration measured as propane in ppmv.</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1.833×10</w:t>
      </w:r>
      <w:r w:rsidRPr="00BF6EA4">
        <w:rPr>
          <w:sz w:val="20"/>
          <w:szCs w:val="20"/>
          <w:vertAlign w:val="superscript"/>
        </w:rPr>
        <w:t>−3</w:t>
      </w:r>
      <w:r w:rsidRPr="00BF6EA4">
        <w:rPr>
          <w:sz w:val="20"/>
          <w:szCs w:val="20"/>
        </w:rPr>
        <w:t xml:space="preserve">  =  Conversion constant for ppm VOC measured as propane, to grams per standard cubic meter at 20 degrees Celsius.</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Q  =  Stack gas volumetric flow rate, in standard cubic meters per hour, dry basis.</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T  =  Time of test run, in hours.</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HP-hr  =  Brake work of the engine, in HP-hr.</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(g)</w:t>
      </w:r>
      <w:r w:rsidRPr="00BF6EA4">
        <w:rPr>
          <w:sz w:val="20"/>
          <w:szCs w:val="20"/>
        </w:rPr>
        <w:tab/>
        <w:t>If the owner/operator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w:t>
      </w:r>
    </w:p>
    <w:p w:rsidR="00BF6EA4" w:rsidRPr="00BF6EA4" w:rsidRDefault="00BF6EA4" w:rsidP="00BF6EA4">
      <w:pPr>
        <w:spacing w:after="120"/>
        <w:jc w:val="center"/>
        <w:rPr>
          <w:rStyle w:val="updatebodytest1"/>
          <w:rFonts w:ascii="Times New Roman" w:hAnsi="Times New Roman" w:cs="Times New Roman"/>
          <w:sz w:val="20"/>
          <w:szCs w:val="20"/>
        </w:rPr>
      </w:pPr>
      <w:r w:rsidRPr="00BF6EA4">
        <w:rPr>
          <w:noProof/>
          <w:sz w:val="20"/>
          <w:szCs w:val="20"/>
        </w:rPr>
        <w:drawing>
          <wp:inline distT="0" distB="0" distL="0" distR="0">
            <wp:extent cx="1150620" cy="389255"/>
            <wp:effectExtent l="19050" t="0" r="0" b="0"/>
            <wp:docPr id="4" name="Picture 4"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18ja08"/>
                    <pic:cNvPicPr>
                      <a:picLocks noChangeAspect="1" noChangeArrowheads="1"/>
                    </pic:cNvPicPr>
                  </pic:nvPicPr>
                  <pic:blipFill>
                    <a:blip r:embed="rId9" cstate="print"/>
                    <a:srcRect/>
                    <a:stretch>
                      <a:fillRect/>
                    </a:stretch>
                  </pic:blipFill>
                  <pic:spPr bwMode="auto">
                    <a:xfrm>
                      <a:off x="0" y="0"/>
                      <a:ext cx="1150620" cy="389255"/>
                    </a:xfrm>
                    <a:prstGeom prst="rect">
                      <a:avLst/>
                    </a:prstGeom>
                    <a:noFill/>
                    <a:ln w="9525">
                      <a:noFill/>
                      <a:miter lim="800000"/>
                      <a:headEnd/>
                      <a:tailEnd/>
                    </a:ln>
                  </pic:spPr>
                </pic:pic>
              </a:graphicData>
            </a:graphic>
          </wp:inline>
        </w:drawing>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Where:</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RFi  =  Response factor of compound i when measured with EPA Method 25A.</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C</w:t>
      </w:r>
      <w:r w:rsidRPr="00BF6EA4">
        <w:rPr>
          <w:sz w:val="20"/>
          <w:szCs w:val="20"/>
          <w:vertAlign w:val="subscript"/>
        </w:rPr>
        <w:t>M</w:t>
      </w:r>
      <w:r w:rsidRPr="00BF6EA4">
        <w:rPr>
          <w:sz w:val="20"/>
          <w:szCs w:val="20"/>
        </w:rPr>
        <w:t>i  =  Measured concentration of compound i in ppmv as carbon.</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C</w:t>
      </w:r>
      <w:r w:rsidRPr="00BF6EA4">
        <w:rPr>
          <w:sz w:val="20"/>
          <w:szCs w:val="20"/>
          <w:vertAlign w:val="subscript"/>
        </w:rPr>
        <w:t>A</w:t>
      </w:r>
      <w:r w:rsidRPr="00BF6EA4">
        <w:rPr>
          <w:sz w:val="20"/>
          <w:szCs w:val="20"/>
        </w:rPr>
        <w:t>i  =  True concentration of compound i in ppmv as carbon.</w:t>
      </w:r>
    </w:p>
    <w:p w:rsidR="00BF6EA4" w:rsidRPr="00BF6EA4" w:rsidRDefault="00BF6EA4" w:rsidP="00BF6EA4">
      <w:pPr>
        <w:spacing w:after="120"/>
        <w:jc w:val="center"/>
        <w:rPr>
          <w:rStyle w:val="updatebodytest1"/>
          <w:rFonts w:ascii="Times New Roman" w:hAnsi="Times New Roman" w:cs="Times New Roman"/>
          <w:sz w:val="20"/>
          <w:szCs w:val="20"/>
        </w:rPr>
      </w:pPr>
      <w:r w:rsidRPr="00BF6EA4">
        <w:rPr>
          <w:noProof/>
          <w:sz w:val="20"/>
          <w:szCs w:val="20"/>
        </w:rPr>
        <w:drawing>
          <wp:inline distT="0" distB="0" distL="0" distR="0">
            <wp:extent cx="1496060" cy="201295"/>
            <wp:effectExtent l="19050" t="0" r="8890" b="0"/>
            <wp:docPr id="5" name="Picture 5"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18ja08"/>
                    <pic:cNvPicPr>
                      <a:picLocks noChangeAspect="1" noChangeArrowheads="1"/>
                    </pic:cNvPicPr>
                  </pic:nvPicPr>
                  <pic:blipFill>
                    <a:blip r:embed="rId10" cstate="print"/>
                    <a:srcRect/>
                    <a:stretch>
                      <a:fillRect/>
                    </a:stretch>
                  </pic:blipFill>
                  <pic:spPr bwMode="auto">
                    <a:xfrm>
                      <a:off x="0" y="0"/>
                      <a:ext cx="1496060" cy="201295"/>
                    </a:xfrm>
                    <a:prstGeom prst="rect">
                      <a:avLst/>
                    </a:prstGeom>
                    <a:noFill/>
                    <a:ln w="9525">
                      <a:noFill/>
                      <a:miter lim="800000"/>
                      <a:headEnd/>
                      <a:tailEnd/>
                    </a:ln>
                  </pic:spPr>
                </pic:pic>
              </a:graphicData>
            </a:graphic>
          </wp:inline>
        </w:drawing>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Where:</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Ci</w:t>
      </w:r>
      <w:r w:rsidRPr="00BF6EA4">
        <w:rPr>
          <w:sz w:val="20"/>
          <w:szCs w:val="20"/>
          <w:vertAlign w:val="subscript"/>
        </w:rPr>
        <w:t>corr</w:t>
      </w:r>
      <w:r w:rsidRPr="00BF6EA4">
        <w:rPr>
          <w:sz w:val="20"/>
          <w:szCs w:val="20"/>
        </w:rPr>
        <w:t xml:space="preserve">  =  Concentration of compound i corrected to the value that would have been measured by EPA Method 25A, ppmv as carbon.</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Ci</w:t>
      </w:r>
      <w:r w:rsidRPr="00BF6EA4">
        <w:rPr>
          <w:sz w:val="20"/>
          <w:szCs w:val="20"/>
          <w:vertAlign w:val="subscript"/>
        </w:rPr>
        <w:t>meas</w:t>
      </w:r>
      <w:r w:rsidRPr="00BF6EA4">
        <w:rPr>
          <w:sz w:val="20"/>
          <w:szCs w:val="20"/>
        </w:rPr>
        <w:t xml:space="preserve">  =  Concentration of compound i measured by EPA Method 320, ppmv as carbon.</w:t>
      </w:r>
    </w:p>
    <w:p w:rsidR="00BF6EA4" w:rsidRPr="00BF6EA4" w:rsidRDefault="00BF6EA4" w:rsidP="00BF6EA4">
      <w:pPr>
        <w:spacing w:after="120"/>
        <w:jc w:val="center"/>
        <w:rPr>
          <w:rStyle w:val="updatebodytest1"/>
          <w:rFonts w:ascii="Times New Roman" w:hAnsi="Times New Roman" w:cs="Times New Roman"/>
          <w:sz w:val="20"/>
          <w:szCs w:val="20"/>
        </w:rPr>
      </w:pPr>
      <w:r w:rsidRPr="00BF6EA4">
        <w:rPr>
          <w:noProof/>
          <w:sz w:val="20"/>
          <w:szCs w:val="20"/>
        </w:rPr>
        <w:drawing>
          <wp:inline distT="0" distB="0" distL="0" distR="0">
            <wp:extent cx="1649730" cy="201295"/>
            <wp:effectExtent l="19050" t="0" r="7620" b="0"/>
            <wp:docPr id="6" name="Picture 6" descr="er18j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18ja08"/>
                    <pic:cNvPicPr>
                      <a:picLocks noChangeAspect="1" noChangeArrowheads="1"/>
                    </pic:cNvPicPr>
                  </pic:nvPicPr>
                  <pic:blipFill>
                    <a:blip r:embed="rId11" cstate="print"/>
                    <a:srcRect/>
                    <a:stretch>
                      <a:fillRect/>
                    </a:stretch>
                  </pic:blipFill>
                  <pic:spPr bwMode="auto">
                    <a:xfrm>
                      <a:off x="0" y="0"/>
                      <a:ext cx="1649730" cy="201295"/>
                    </a:xfrm>
                    <a:prstGeom prst="rect">
                      <a:avLst/>
                    </a:prstGeom>
                    <a:noFill/>
                    <a:ln w="9525">
                      <a:noFill/>
                      <a:miter lim="800000"/>
                      <a:headEnd/>
                      <a:tailEnd/>
                    </a:ln>
                  </pic:spPr>
                </pic:pic>
              </a:graphicData>
            </a:graphic>
          </wp:inline>
        </w:drawing>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Where:</w:t>
      </w:r>
    </w:p>
    <w:p w:rsidR="00BF6EA4" w:rsidRPr="00BF6EA4" w:rsidRDefault="00BF6EA4" w:rsidP="00BF6EA4">
      <w:pPr>
        <w:pStyle w:val="NormalWeb"/>
        <w:spacing w:before="0" w:beforeAutospacing="0" w:after="120" w:afterAutospacing="0"/>
        <w:ind w:left="360"/>
        <w:rPr>
          <w:sz w:val="20"/>
          <w:szCs w:val="20"/>
        </w:rPr>
      </w:pPr>
      <w:r w:rsidRPr="00BF6EA4">
        <w:rPr>
          <w:sz w:val="20"/>
          <w:szCs w:val="20"/>
        </w:rPr>
        <w:t>CPeq  =  Concentration of compound i in mg of propane equivalent per DSCM.</w:t>
      </w:r>
    </w:p>
    <w:p w:rsidR="00BF6EA4" w:rsidRPr="00BF6EA4" w:rsidRDefault="00BF6EA4" w:rsidP="00BF6EA4">
      <w:pPr>
        <w:pStyle w:val="Heading5"/>
        <w:spacing w:before="0" w:beforeAutospacing="0" w:after="120" w:afterAutospacing="0"/>
      </w:pPr>
      <w:r w:rsidRPr="00BF6EA4">
        <w:t>Notification, Reports, and Records for Owners and Operators</w:t>
      </w:r>
    </w:p>
    <w:p w:rsidR="00BF6EA4" w:rsidRPr="00BF6EA4" w:rsidRDefault="00BF6EA4" w:rsidP="00BF6EA4">
      <w:pPr>
        <w:pStyle w:val="Heading5"/>
        <w:spacing w:before="0" w:beforeAutospacing="0" w:after="120" w:afterAutospacing="0"/>
      </w:pPr>
      <w:r w:rsidRPr="00BF6EA4">
        <w:t>§ 60.4245   What are my notification, reporting, and recordkeeping requirements if I am an owner or operator of a stationary SI internal combustion engine?</w:t>
      </w:r>
    </w:p>
    <w:p w:rsidR="00BF6EA4" w:rsidRPr="00BF6EA4" w:rsidRDefault="00BF6EA4" w:rsidP="00BF6EA4">
      <w:pPr>
        <w:pStyle w:val="NormalWeb"/>
        <w:spacing w:before="0" w:beforeAutospacing="0" w:after="120" w:afterAutospacing="0"/>
        <w:rPr>
          <w:sz w:val="20"/>
          <w:szCs w:val="20"/>
        </w:rPr>
      </w:pPr>
      <w:r w:rsidRPr="00BF6EA4">
        <w:rPr>
          <w:sz w:val="20"/>
          <w:szCs w:val="20"/>
        </w:rPr>
        <w:t>Owners or operators of stationary SI ICE must meet the following notification, reporting and recordkeeping requirements.</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(a)</w:t>
      </w:r>
      <w:r w:rsidRPr="00BF6EA4">
        <w:rPr>
          <w:sz w:val="20"/>
          <w:szCs w:val="20"/>
        </w:rPr>
        <w:tab/>
        <w:t>Owners and operators of all stationary SI ICE must keep records of the information in paragraphs (a)(1) through (4) of this section.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(1)</w:t>
      </w:r>
      <w:r w:rsidRPr="00BF6EA4">
        <w:rPr>
          <w:sz w:val="20"/>
          <w:szCs w:val="20"/>
        </w:rPr>
        <w:tab/>
        <w:t>All notifications submitted to comply with this subpart and all documentation supporting any notification.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(2)</w:t>
      </w:r>
      <w:r w:rsidRPr="00BF6EA4">
        <w:rPr>
          <w:sz w:val="20"/>
          <w:szCs w:val="20"/>
        </w:rPr>
        <w:tab/>
        <w:t>Maintenance conducted on the engine.</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lastRenderedPageBreak/>
        <w:t>(3)</w:t>
      </w:r>
      <w:r w:rsidRPr="00BF6EA4">
        <w:rPr>
          <w:sz w:val="20"/>
          <w:szCs w:val="20"/>
        </w:rPr>
        <w:tab/>
        <w:t>If the stationary SI internal combustion engine is a certified engine, documentation from the manufacturer that the engine is certified to meet the emission standards and information as required in 40 CFR parts 90, 1048, 1054, and 1060, as applicable.</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(4)</w:t>
      </w:r>
      <w:r w:rsidRPr="00BF6EA4">
        <w:rPr>
          <w:sz w:val="20"/>
          <w:szCs w:val="20"/>
        </w:rPr>
        <w:tab/>
        <w:t>If the stationary SI internal combustion engine is not a certified engine or is a certified engine operating in a non-certified manner and subject to §60.4243(a)(2), documentation that the engine meets the emission standards.</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(b)</w:t>
      </w:r>
      <w:r w:rsidRPr="00BF6EA4">
        <w:rPr>
          <w:sz w:val="20"/>
          <w:szCs w:val="20"/>
        </w:rPr>
        <w:tab/>
        <w:t>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 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 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(c)</w:t>
      </w:r>
      <w:r w:rsidRPr="00BF6EA4">
        <w:rPr>
          <w:sz w:val="20"/>
          <w:szCs w:val="20"/>
        </w:rPr>
        <w:tab/>
        <w:t>Owners and operators of stationary SI ICE greater than or equal to 500 HP that have not been certified by an engine manufacturer to meet the emission standards in §60.4231 must submit an initial notification as required in §60.7(a)(1). The notification must include the information in paragraphs (c)(1) through (5) of this section.</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(1)</w:t>
      </w:r>
      <w:r w:rsidRPr="00BF6EA4">
        <w:rPr>
          <w:sz w:val="20"/>
          <w:szCs w:val="20"/>
        </w:rPr>
        <w:tab/>
        <w:t>Name and address of the owner or operator;</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(2)</w:t>
      </w:r>
      <w:r w:rsidRPr="00BF6EA4">
        <w:rPr>
          <w:sz w:val="20"/>
          <w:szCs w:val="20"/>
        </w:rPr>
        <w:tab/>
        <w:t>The address of the affected source;</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(3)</w:t>
      </w:r>
      <w:r w:rsidRPr="00BF6EA4">
        <w:rPr>
          <w:sz w:val="20"/>
          <w:szCs w:val="20"/>
        </w:rPr>
        <w:tab/>
        <w:t>Engine information including make, model, engine family, serial number, model year, maximum engine power, and engine displacement;</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(4)</w:t>
      </w:r>
      <w:r w:rsidRPr="00BF6EA4">
        <w:rPr>
          <w:sz w:val="20"/>
          <w:szCs w:val="20"/>
        </w:rPr>
        <w:tab/>
        <w:t>Emission control equipment; and</w:t>
      </w:r>
    </w:p>
    <w:p w:rsidR="00BF6EA4" w:rsidRPr="00BF6EA4" w:rsidRDefault="00BF6EA4" w:rsidP="00BF6EA4">
      <w:pPr>
        <w:pStyle w:val="NormalWeb"/>
        <w:spacing w:before="0" w:beforeAutospacing="0" w:after="120" w:afterAutospacing="0"/>
        <w:ind w:left="720" w:hanging="360"/>
        <w:rPr>
          <w:sz w:val="20"/>
          <w:szCs w:val="20"/>
        </w:rPr>
      </w:pPr>
      <w:r w:rsidRPr="00BF6EA4">
        <w:rPr>
          <w:sz w:val="20"/>
          <w:szCs w:val="20"/>
        </w:rPr>
        <w:t>(5)</w:t>
      </w:r>
      <w:r w:rsidRPr="00BF6EA4">
        <w:rPr>
          <w:sz w:val="20"/>
          <w:szCs w:val="20"/>
        </w:rPr>
        <w:tab/>
        <w:t>Fuel used.</w:t>
      </w:r>
    </w:p>
    <w:p w:rsidR="00BF6EA4" w:rsidRPr="00BF6EA4" w:rsidRDefault="00BF6EA4" w:rsidP="00BF6EA4">
      <w:pPr>
        <w:pStyle w:val="NormalWeb"/>
        <w:spacing w:before="0" w:beforeAutospacing="0" w:after="120" w:afterAutospacing="0"/>
        <w:ind w:left="360" w:hanging="360"/>
        <w:rPr>
          <w:sz w:val="20"/>
          <w:szCs w:val="20"/>
        </w:rPr>
      </w:pPr>
      <w:r w:rsidRPr="00BF6EA4">
        <w:rPr>
          <w:sz w:val="20"/>
          <w:szCs w:val="20"/>
        </w:rPr>
        <w:t>(d)</w:t>
      </w:r>
      <w:r w:rsidRPr="00BF6EA4">
        <w:rPr>
          <w:sz w:val="20"/>
          <w:szCs w:val="20"/>
        </w:rPr>
        <w:tab/>
        <w:t>Owners and operators of stationary SI ICE that are subject to performance testing must submit a copy of each performance test as conducted in §60.4244 within 60 days after the test has been completed.</w:t>
      </w:r>
    </w:p>
    <w:p w:rsidR="00BF6EA4" w:rsidRPr="00BF6EA4" w:rsidRDefault="00BF6EA4" w:rsidP="00BF6EA4">
      <w:pPr>
        <w:pStyle w:val="NormalWeb"/>
        <w:spacing w:before="0" w:beforeAutospacing="0" w:after="120" w:afterAutospacing="0"/>
        <w:rPr>
          <w:sz w:val="20"/>
          <w:szCs w:val="20"/>
        </w:rPr>
      </w:pPr>
      <w:r w:rsidRPr="00BF6EA4">
        <w:rPr>
          <w:sz w:val="20"/>
          <w:szCs w:val="20"/>
        </w:rPr>
        <w:t>[73 FR 3591, Jan. 18, 2008, as amended by 73 FR 59177, Oct. 8, 2008]</w:t>
      </w:r>
    </w:p>
    <w:p w:rsidR="00BF6EA4" w:rsidRPr="00BF6EA4" w:rsidRDefault="00BF6EA4" w:rsidP="00BF6EA4">
      <w:pPr>
        <w:pStyle w:val="Heading5"/>
        <w:spacing w:before="0" w:beforeAutospacing="0" w:after="120" w:afterAutospacing="0"/>
      </w:pPr>
      <w:r w:rsidRPr="00BF6EA4">
        <w:t>General Provisions</w:t>
      </w:r>
    </w:p>
    <w:p w:rsidR="00BF6EA4" w:rsidRPr="00BF6EA4" w:rsidRDefault="00BF6EA4" w:rsidP="00BF6EA4">
      <w:pPr>
        <w:pStyle w:val="Heading5"/>
        <w:spacing w:before="0" w:beforeAutospacing="0" w:after="120" w:afterAutospacing="0"/>
      </w:pPr>
      <w:r w:rsidRPr="00BF6EA4">
        <w:t>§ 60.4246   What parts of the General Provisions apply to me?</w:t>
      </w:r>
    </w:p>
    <w:p w:rsidR="00BF6EA4" w:rsidRPr="00BF6EA4" w:rsidRDefault="00BF6EA4" w:rsidP="00BF6EA4">
      <w:pPr>
        <w:pStyle w:val="NormalWeb"/>
        <w:spacing w:before="0" w:beforeAutospacing="0" w:after="120" w:afterAutospacing="0"/>
        <w:rPr>
          <w:sz w:val="20"/>
          <w:szCs w:val="20"/>
        </w:rPr>
      </w:pPr>
      <w:r w:rsidRPr="00BF6EA4">
        <w:rPr>
          <w:sz w:val="20"/>
          <w:szCs w:val="20"/>
        </w:rPr>
        <w:t>Table 3 to this subpart shows which parts of the General Provisions in §§60.1 through 60.19 apply to you.</w:t>
      </w:r>
    </w:p>
    <w:p w:rsidR="00BF6EA4" w:rsidRPr="00BF6EA4" w:rsidRDefault="00BF6EA4" w:rsidP="00BF6EA4">
      <w:pPr>
        <w:pStyle w:val="Heading5"/>
        <w:spacing w:before="0" w:beforeAutospacing="0" w:after="120" w:afterAutospacing="0"/>
      </w:pPr>
      <w:r w:rsidRPr="00BF6EA4">
        <w:t>Definitions</w:t>
      </w:r>
    </w:p>
    <w:p w:rsidR="00BF6EA4" w:rsidRPr="00BF6EA4" w:rsidRDefault="00BF6EA4" w:rsidP="00BF6EA4">
      <w:pPr>
        <w:pStyle w:val="Heading5"/>
        <w:spacing w:before="0" w:beforeAutospacing="0" w:after="120" w:afterAutospacing="0"/>
      </w:pPr>
      <w:r w:rsidRPr="00BF6EA4">
        <w:t>§ 60.4248   What definitions apply to this subpart?</w:t>
      </w:r>
    </w:p>
    <w:p w:rsidR="00BF6EA4" w:rsidRPr="00BF6EA4" w:rsidRDefault="00BF6EA4" w:rsidP="00BF6EA4">
      <w:pPr>
        <w:pStyle w:val="NormalWeb"/>
        <w:spacing w:before="0" w:beforeAutospacing="0" w:after="120" w:afterAutospacing="0"/>
        <w:rPr>
          <w:sz w:val="20"/>
          <w:szCs w:val="20"/>
        </w:rPr>
      </w:pPr>
      <w:r w:rsidRPr="00BF6EA4">
        <w:rPr>
          <w:sz w:val="20"/>
          <w:szCs w:val="20"/>
        </w:rPr>
        <w:t>As used in this subpart, all terms not defined herein shall have the meaning given them in the CAA and in subpart A of this part.</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Certified emissions life </w:t>
      </w:r>
      <w:r w:rsidRPr="00BF6EA4">
        <w:rPr>
          <w:sz w:val="20"/>
          <w:szCs w:val="20"/>
        </w:rPr>
        <w:t>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SI ICE with a maximum engine power less than or equal to 19 KW (25 HP) are given in 40 CFR 90.105, 40 CFR 1054.107, and 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Certified stationary internal combustion engine </w:t>
      </w:r>
      <w:r w:rsidRPr="00BF6EA4">
        <w:rPr>
          <w:sz w:val="20"/>
          <w:szCs w:val="20"/>
        </w:rPr>
        <w:t>means an engine that belongs to an engine family that has a certificate of conformity that complies with the emission standards and requirements in this part, or of 40 CFR part 90, 40 CFR part 1048, or 40 CFR part 1054, as appropriate.</w:t>
      </w:r>
    </w:p>
    <w:p w:rsidR="00BF6EA4" w:rsidRPr="00BF6EA4" w:rsidRDefault="00BF6EA4" w:rsidP="00BF6EA4">
      <w:pPr>
        <w:pStyle w:val="NormalWeb"/>
        <w:spacing w:before="0" w:beforeAutospacing="0" w:after="120" w:afterAutospacing="0"/>
        <w:rPr>
          <w:sz w:val="20"/>
          <w:szCs w:val="20"/>
        </w:rPr>
      </w:pPr>
      <w:r w:rsidRPr="00BF6EA4">
        <w:rPr>
          <w:i/>
          <w:iCs/>
          <w:sz w:val="20"/>
          <w:szCs w:val="20"/>
        </w:rPr>
        <w:lastRenderedPageBreak/>
        <w:t xml:space="preserve">Combustion turbine </w:t>
      </w:r>
      <w:r w:rsidRPr="00BF6EA4">
        <w:rPr>
          <w:sz w:val="20"/>
          <w:szCs w:val="20"/>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Compression ignition </w:t>
      </w:r>
      <w:r w:rsidRPr="00BF6EA4">
        <w:rPr>
          <w:sz w:val="20"/>
          <w:szCs w:val="20"/>
        </w:rPr>
        <w:t>means relating to a type of stationary internal combustion engine that is not a spark ignition engine.</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Diesel fuel </w:t>
      </w:r>
      <w:r w:rsidRPr="00BF6EA4">
        <w:rPr>
          <w:sz w:val="20"/>
          <w:szCs w:val="20"/>
        </w:rPr>
        <w:t>means any liquid obtained from the distillation of petroleum with a boiling point of approximately 150 to 360 degrees Celsius. One commonly used form is number 2 distillate oil.</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Digester gas </w:t>
      </w:r>
      <w:r w:rsidRPr="00BF6EA4">
        <w:rPr>
          <w:sz w:val="20"/>
          <w:szCs w:val="20"/>
        </w:rPr>
        <w:t>means any gaseous by-product of wastewater treatment typically formed through the anaerobic decomposition of organic waste materials and composed principally of methane and carbon dioxide (CO2).</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Emergency stationary internal combustion engine </w:t>
      </w:r>
      <w:r w:rsidRPr="00BF6EA4">
        <w:rPr>
          <w:sz w:val="20"/>
          <w:szCs w:val="20"/>
        </w:rPr>
        <w:t>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SI ICE used for peak shaving are not considered emergency stationary ICE. Stationary ICE used to supply power to an electric grid or that supply power as part of a financial arrangement with another entity are not considered to be emergency engines.</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Engine manufacturer </w:t>
      </w:r>
      <w:r w:rsidRPr="00BF6EA4">
        <w:rPr>
          <w:sz w:val="20"/>
          <w:szCs w:val="20"/>
        </w:rPr>
        <w:t>means the manufacturer of the engine. See the definition of “manufacturer” in this section.</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Four-stroke engine </w:t>
      </w:r>
      <w:r w:rsidRPr="00BF6EA4">
        <w:rPr>
          <w:sz w:val="20"/>
          <w:szCs w:val="20"/>
        </w:rPr>
        <w:t>means any type of engine which completes the power cycle in two crankshaft revolutions, with intake and compression strokes in the first revolution and power and exhaust strokes in the second revolution.</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Gasoline </w:t>
      </w:r>
      <w:r w:rsidRPr="00BF6EA4">
        <w:rPr>
          <w:sz w:val="20"/>
          <w:szCs w:val="20"/>
        </w:rPr>
        <w:t>means any fuel sold in any State for use in motor vehicles and motor vehicle engines, or nonroad or stationary engines, and commonly or commercially known or sold as gasoline.</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Landfill gas </w:t>
      </w:r>
      <w:r w:rsidRPr="00BF6EA4">
        <w:rPr>
          <w:sz w:val="20"/>
          <w:szCs w:val="20"/>
        </w:rPr>
        <w:t>means a gaseous by-product of the land application of municipal refuse typically formed through the anaerobic decomposition of waste materials and composed principally of methane and CO</w:t>
      </w:r>
      <w:r w:rsidRPr="00BF6EA4">
        <w:rPr>
          <w:sz w:val="20"/>
          <w:szCs w:val="20"/>
          <w:vertAlign w:val="subscript"/>
        </w:rPr>
        <w:t>2</w:t>
      </w:r>
      <w:r w:rsidRPr="00BF6EA4">
        <w:rPr>
          <w:sz w:val="20"/>
          <w:szCs w:val="20"/>
        </w:rPr>
        <w:t>.</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Lean burn engine </w:t>
      </w:r>
      <w:r w:rsidRPr="00BF6EA4">
        <w:rPr>
          <w:sz w:val="20"/>
          <w:szCs w:val="20"/>
        </w:rPr>
        <w:t>means any two-stroke or four-stroke spark ignited engine that does not meet the definition of a rich burn engine.</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Liquefied petroleum gas </w:t>
      </w:r>
      <w:r w:rsidRPr="00BF6EA4">
        <w:rPr>
          <w:sz w:val="20"/>
          <w:szCs w:val="20"/>
        </w:rPr>
        <w:t>means any liquefied hydrocarbon gas obtained as a by-product in petroleum refining of natural gas production.</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Manufacturer </w:t>
      </w:r>
      <w:r w:rsidRPr="00BF6EA4">
        <w:rPr>
          <w:sz w:val="20"/>
          <w:szCs w:val="20"/>
        </w:rPr>
        <w:t>has the meaning given in section 216(1) of the Clean Air Act. In general, this term includes any person who manufactures a stationary engine for sale in the United States or otherwise introduces a new stationary engine into commerce in the United States. This includes importers who import stationary engines for resale.</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Maximum engine power </w:t>
      </w:r>
      <w:r w:rsidRPr="00BF6EA4">
        <w:rPr>
          <w:sz w:val="20"/>
          <w:szCs w:val="20"/>
        </w:rPr>
        <w:t>means maximum engine power as defined in 40 CFR 1048.801.</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Model year </w:t>
      </w:r>
      <w:r w:rsidRPr="00BF6EA4">
        <w:rPr>
          <w:sz w:val="20"/>
          <w:szCs w:val="20"/>
        </w:rPr>
        <w:t>means either: The calendar year in which the engine was originally produced, or the annual new model production period of the engine manufacturer if it is different than the calendar year. This must include January 1 of the calendar year for which the model year is named. It may not begin before January 2 of the previous calendar year, and it must end by December 31 of the named calendar year. For an engine that is converted to a stationary engine after being placed into service as a nonroad or other non-stationary engine, model year means the calendar year or new model production period in which the engine was originally produced.</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Natural gas </w:t>
      </w:r>
      <w:r w:rsidRPr="00BF6EA4">
        <w:rPr>
          <w:sz w:val="20"/>
          <w:szCs w:val="20"/>
        </w:rPr>
        <w:t>means a naturally occurring mixture of hydrocarbon and non-hydrocarbon gases found in geologic formations beneath the Earth's surface, of which the principal constituent is methane. Natural gas may be field or pipeline quality.</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Other internal combustion engine </w:t>
      </w:r>
      <w:r w:rsidRPr="00BF6EA4">
        <w:rPr>
          <w:sz w:val="20"/>
          <w:szCs w:val="20"/>
        </w:rPr>
        <w:t>means any internal combustion engine, except combustion turbines, which is not a reciprocating internal combustion engine or rotary internal combustion engine.</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Pipeline-quality natural gas </w:t>
      </w:r>
      <w:r w:rsidRPr="00BF6EA4">
        <w:rPr>
          <w:sz w:val="20"/>
          <w:szCs w:val="20"/>
        </w:rPr>
        <w:t>means a naturally occurring fluid mixture of hydrocarbons (e.g., methane, ethane, or propane) produced in geological formations beneath the Earth's surface that maintains a gaseous state at standard atmospheric temperature and pressure under ordinary conditions, and which is provided by a supplier through a pipeline. Pipeline-quality natural gas must either be composed of at least 70 percent methane by volume or have a gross calorific value between 950 and 1,100 British thermal units per standard cubic foot.</w:t>
      </w:r>
    </w:p>
    <w:p w:rsidR="00BF6EA4" w:rsidRPr="00BF6EA4" w:rsidRDefault="00BF6EA4" w:rsidP="00BF6EA4">
      <w:pPr>
        <w:pStyle w:val="NormalWeb"/>
        <w:spacing w:before="0" w:beforeAutospacing="0" w:after="120" w:afterAutospacing="0"/>
        <w:rPr>
          <w:sz w:val="20"/>
          <w:szCs w:val="20"/>
        </w:rPr>
      </w:pPr>
      <w:r w:rsidRPr="00BF6EA4">
        <w:rPr>
          <w:i/>
          <w:iCs/>
          <w:sz w:val="20"/>
          <w:szCs w:val="20"/>
        </w:rPr>
        <w:lastRenderedPageBreak/>
        <w:t xml:space="preserve">Rich burn engine </w:t>
      </w:r>
      <w:r w:rsidRPr="00BF6EA4">
        <w:rPr>
          <w:sz w:val="20"/>
          <w:szCs w:val="20"/>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June 12, 2006, with passive emission control technology for NO</w:t>
      </w:r>
      <w:r w:rsidRPr="00BF6EA4">
        <w:rPr>
          <w:sz w:val="20"/>
          <w:szCs w:val="20"/>
          <w:vertAlign w:val="subscript"/>
        </w:rPr>
        <w:t>X</w:t>
      </w:r>
      <w:r w:rsidRPr="00BF6EA4">
        <w:rPr>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Rotary internal combustion engine </w:t>
      </w:r>
      <w:r w:rsidRPr="00BF6EA4">
        <w:rPr>
          <w:sz w:val="20"/>
          <w:szCs w:val="20"/>
        </w:rPr>
        <w:t>means any internal combustion engine which uses rotary motion to convert heat energy into mechanical work.</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Spark ignition </w:t>
      </w:r>
      <w:r w:rsidRPr="00BF6EA4">
        <w:rPr>
          <w:sz w:val="20"/>
          <w:szCs w:val="20"/>
        </w:rPr>
        <w:t>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Stationary internal combustion engine </w:t>
      </w:r>
      <w:r w:rsidRPr="00BF6EA4">
        <w:rPr>
          <w:sz w:val="20"/>
          <w:szCs w:val="20"/>
        </w:rPr>
        <w:t>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or a vehicle used solely for competition. Stationary ICE include reciprocating ICE, rotary ICE, and other ICE, except combustion turbines.</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Stationary internal combustion engine test cell/stand </w:t>
      </w:r>
      <w:r w:rsidRPr="00BF6EA4">
        <w:rPr>
          <w:sz w:val="20"/>
          <w:szCs w:val="20"/>
        </w:rPr>
        <w:t>means an engine test cell/stand, as defined in subpart PPPPP of this part, that test stationary ICE.</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Stoichiometric </w:t>
      </w:r>
      <w:r w:rsidRPr="00BF6EA4">
        <w:rPr>
          <w:sz w:val="20"/>
          <w:szCs w:val="20"/>
        </w:rPr>
        <w:t>means the theoretical air-to-fuel ratio required for complete combustion.</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Subpart </w:t>
      </w:r>
      <w:r w:rsidRPr="00BF6EA4">
        <w:rPr>
          <w:sz w:val="20"/>
          <w:szCs w:val="20"/>
        </w:rPr>
        <w:t>means 40 CFR part 60, subpart JJJJ.</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Two-stroke engine </w:t>
      </w:r>
      <w:r w:rsidRPr="00BF6EA4">
        <w:rPr>
          <w:sz w:val="20"/>
          <w:szCs w:val="20"/>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Volatile organic compounds </w:t>
      </w:r>
      <w:r w:rsidRPr="00BF6EA4">
        <w:rPr>
          <w:sz w:val="20"/>
          <w:szCs w:val="20"/>
        </w:rPr>
        <w:t>means volatile organic compounds as defined in 40 CFR 51.100(s).</w:t>
      </w:r>
    </w:p>
    <w:p w:rsidR="00BF6EA4" w:rsidRPr="00BF6EA4" w:rsidRDefault="00BF6EA4" w:rsidP="00BF6EA4">
      <w:pPr>
        <w:pStyle w:val="NormalWeb"/>
        <w:spacing w:before="0" w:beforeAutospacing="0" w:after="120" w:afterAutospacing="0"/>
        <w:rPr>
          <w:sz w:val="20"/>
          <w:szCs w:val="20"/>
        </w:rPr>
      </w:pPr>
      <w:r w:rsidRPr="00BF6EA4">
        <w:rPr>
          <w:i/>
          <w:iCs/>
          <w:sz w:val="20"/>
          <w:szCs w:val="20"/>
        </w:rPr>
        <w:t xml:space="preserve">Voluntary certification program </w:t>
      </w:r>
      <w:r w:rsidRPr="00BF6EA4">
        <w:rPr>
          <w:sz w:val="20"/>
          <w:szCs w:val="20"/>
        </w:rPr>
        <w:t>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§60.4231(d) or (e), as applicable.</w:t>
      </w:r>
    </w:p>
    <w:p w:rsidR="00BF6EA4" w:rsidRPr="00BF6EA4" w:rsidRDefault="00BF6EA4" w:rsidP="00BF6EA4">
      <w:pPr>
        <w:pStyle w:val="NormalWeb"/>
        <w:spacing w:before="0" w:beforeAutospacing="0" w:after="120" w:afterAutospacing="0"/>
        <w:rPr>
          <w:sz w:val="20"/>
          <w:szCs w:val="20"/>
        </w:rPr>
      </w:pPr>
      <w:r w:rsidRPr="00BF6EA4">
        <w:rPr>
          <w:sz w:val="20"/>
          <w:szCs w:val="20"/>
        </w:rPr>
        <w:t>[73 FR 3591, Jan. 18, 2008, as amended by 73 FR 59177, Oct. 8, 2008]</w:t>
      </w:r>
    </w:p>
    <w:p w:rsidR="00BF6EA4" w:rsidRPr="00BF6EA4" w:rsidRDefault="00BF6EA4" w:rsidP="00BF6EA4">
      <w:pPr>
        <w:pStyle w:val="Heading5"/>
        <w:spacing w:before="0" w:beforeAutospacing="0" w:after="120" w:afterAutospacing="0"/>
      </w:pPr>
      <w:r w:rsidRPr="00BF6EA4">
        <w:t>Table 1 to Subpart JJJJ of Part 60—NO</w:t>
      </w:r>
      <w:r w:rsidRPr="00BF6EA4">
        <w:rPr>
          <w:vertAlign w:val="subscript"/>
        </w:rPr>
        <w:t>X</w:t>
      </w:r>
      <w:r w:rsidRPr="00BF6EA4">
        <w:t>, CO, and VOC Emission Standards for Stationary Non-Emergency SI Engines ≥100 HP (Except Gasoline and Rich Burn LPG), Stationary SI Landfill/Digester Gas Engines, and Stationary Emergency Engines &gt;25 HP</w:t>
      </w:r>
    </w:p>
    <w:tbl>
      <w:tblPr>
        <w:tblW w:w="5000" w:type="pct"/>
        <w:tblBorders>
          <w:top w:val="outset" w:sz="6" w:space="0" w:color="auto"/>
          <w:left w:val="outset" w:sz="6" w:space="0" w:color="auto"/>
          <w:bottom w:val="outset" w:sz="6" w:space="0" w:color="auto"/>
          <w:right w:val="outset" w:sz="6" w:space="0" w:color="auto"/>
          <w:insideH w:val="single" w:sz="6" w:space="0" w:color="000000"/>
          <w:insideV w:val="single" w:sz="6" w:space="0" w:color="000000"/>
        </w:tblBorders>
        <w:tblCellMar>
          <w:top w:w="43" w:type="dxa"/>
          <w:left w:w="72" w:type="dxa"/>
          <w:bottom w:w="43" w:type="dxa"/>
          <w:right w:w="72" w:type="dxa"/>
        </w:tblCellMar>
        <w:tblLook w:val="0000"/>
      </w:tblPr>
      <w:tblGrid>
        <w:gridCol w:w="3856"/>
        <w:gridCol w:w="1640"/>
        <w:gridCol w:w="1397"/>
        <w:gridCol w:w="538"/>
        <w:gridCol w:w="444"/>
        <w:gridCol w:w="661"/>
        <w:gridCol w:w="538"/>
        <w:gridCol w:w="489"/>
        <w:gridCol w:w="661"/>
      </w:tblGrid>
      <w:tr w:rsidR="00BF6EA4" w:rsidRPr="00BF6EA4" w:rsidTr="00344C12">
        <w:trPr>
          <w:tblHeader/>
        </w:trPr>
        <w:tc>
          <w:tcPr>
            <w:tcW w:w="0" w:type="auto"/>
            <w:vMerge w:val="restart"/>
            <w:vAlign w:val="bottom"/>
          </w:tcPr>
          <w:p w:rsidR="00BF6EA4" w:rsidRPr="00BF6EA4" w:rsidRDefault="00BF6EA4" w:rsidP="00344C12">
            <w:pPr>
              <w:jc w:val="center"/>
              <w:rPr>
                <w:b/>
                <w:bCs/>
                <w:sz w:val="20"/>
                <w:szCs w:val="20"/>
              </w:rPr>
            </w:pPr>
            <w:r w:rsidRPr="00BF6EA4">
              <w:rPr>
                <w:b/>
                <w:bCs/>
                <w:sz w:val="20"/>
                <w:szCs w:val="20"/>
              </w:rPr>
              <w:t>Engine type and fuel</w:t>
            </w:r>
          </w:p>
        </w:tc>
        <w:tc>
          <w:tcPr>
            <w:tcW w:w="0" w:type="auto"/>
            <w:vMerge w:val="restart"/>
            <w:vAlign w:val="bottom"/>
          </w:tcPr>
          <w:p w:rsidR="00BF6EA4" w:rsidRPr="00BF6EA4" w:rsidRDefault="00BF6EA4" w:rsidP="00344C12">
            <w:pPr>
              <w:jc w:val="center"/>
              <w:rPr>
                <w:b/>
                <w:bCs/>
                <w:sz w:val="20"/>
                <w:szCs w:val="20"/>
              </w:rPr>
            </w:pPr>
            <w:r w:rsidRPr="00BF6EA4">
              <w:rPr>
                <w:b/>
                <w:bCs/>
                <w:sz w:val="20"/>
                <w:szCs w:val="20"/>
              </w:rPr>
              <w:t>Maximum engine power</w:t>
            </w:r>
          </w:p>
        </w:tc>
        <w:tc>
          <w:tcPr>
            <w:tcW w:w="0" w:type="auto"/>
            <w:vMerge w:val="restart"/>
            <w:vAlign w:val="bottom"/>
          </w:tcPr>
          <w:p w:rsidR="00BF6EA4" w:rsidRPr="00BF6EA4" w:rsidRDefault="00BF6EA4" w:rsidP="00344C12">
            <w:pPr>
              <w:jc w:val="center"/>
              <w:rPr>
                <w:b/>
                <w:bCs/>
                <w:sz w:val="20"/>
                <w:szCs w:val="20"/>
              </w:rPr>
            </w:pPr>
            <w:r w:rsidRPr="00BF6EA4">
              <w:rPr>
                <w:b/>
                <w:bCs/>
                <w:sz w:val="20"/>
                <w:szCs w:val="20"/>
              </w:rPr>
              <w:t>Manufacture date</w:t>
            </w:r>
          </w:p>
        </w:tc>
        <w:tc>
          <w:tcPr>
            <w:tcW w:w="0" w:type="auto"/>
            <w:gridSpan w:val="6"/>
            <w:vAlign w:val="bottom"/>
          </w:tcPr>
          <w:p w:rsidR="00BF6EA4" w:rsidRPr="00BF6EA4" w:rsidRDefault="00BF6EA4" w:rsidP="00344C12">
            <w:pPr>
              <w:jc w:val="center"/>
              <w:rPr>
                <w:b/>
                <w:bCs/>
                <w:sz w:val="20"/>
                <w:szCs w:val="20"/>
              </w:rPr>
            </w:pPr>
            <w:r w:rsidRPr="00BF6EA4">
              <w:rPr>
                <w:b/>
                <w:bCs/>
                <w:sz w:val="20"/>
                <w:szCs w:val="20"/>
              </w:rPr>
              <w:t>Emission standards</w:t>
            </w:r>
            <w:r w:rsidRPr="00BF6EA4">
              <w:rPr>
                <w:b/>
                <w:bCs/>
                <w:sz w:val="20"/>
                <w:szCs w:val="20"/>
                <w:vertAlign w:val="superscript"/>
              </w:rPr>
              <w:t>a</w:t>
            </w:r>
          </w:p>
        </w:tc>
      </w:tr>
      <w:tr w:rsidR="00BF6EA4" w:rsidRPr="00BF6EA4" w:rsidTr="00344C12">
        <w:trPr>
          <w:tblHeader/>
        </w:trPr>
        <w:tc>
          <w:tcPr>
            <w:tcW w:w="0" w:type="auto"/>
            <w:vMerge/>
            <w:vAlign w:val="center"/>
          </w:tcPr>
          <w:p w:rsidR="00BF6EA4" w:rsidRPr="00BF6EA4" w:rsidRDefault="00BF6EA4" w:rsidP="00344C12">
            <w:pPr>
              <w:rPr>
                <w:b/>
                <w:bCs/>
                <w:sz w:val="20"/>
                <w:szCs w:val="20"/>
              </w:rPr>
            </w:pPr>
          </w:p>
        </w:tc>
        <w:tc>
          <w:tcPr>
            <w:tcW w:w="0" w:type="auto"/>
            <w:vMerge/>
            <w:vAlign w:val="center"/>
          </w:tcPr>
          <w:p w:rsidR="00BF6EA4" w:rsidRPr="00BF6EA4" w:rsidRDefault="00BF6EA4" w:rsidP="00344C12">
            <w:pPr>
              <w:rPr>
                <w:b/>
                <w:bCs/>
                <w:sz w:val="20"/>
                <w:szCs w:val="20"/>
              </w:rPr>
            </w:pPr>
          </w:p>
        </w:tc>
        <w:tc>
          <w:tcPr>
            <w:tcW w:w="0" w:type="auto"/>
            <w:vMerge/>
            <w:vAlign w:val="center"/>
          </w:tcPr>
          <w:p w:rsidR="00BF6EA4" w:rsidRPr="00BF6EA4" w:rsidRDefault="00BF6EA4" w:rsidP="00344C12">
            <w:pPr>
              <w:rPr>
                <w:b/>
                <w:bCs/>
                <w:sz w:val="20"/>
                <w:szCs w:val="20"/>
              </w:rPr>
            </w:pPr>
          </w:p>
        </w:tc>
        <w:tc>
          <w:tcPr>
            <w:tcW w:w="0" w:type="auto"/>
            <w:gridSpan w:val="3"/>
            <w:vAlign w:val="bottom"/>
          </w:tcPr>
          <w:p w:rsidR="00BF6EA4" w:rsidRPr="00BF6EA4" w:rsidRDefault="00BF6EA4" w:rsidP="00344C12">
            <w:pPr>
              <w:jc w:val="center"/>
              <w:rPr>
                <w:b/>
                <w:bCs/>
                <w:sz w:val="20"/>
                <w:szCs w:val="20"/>
              </w:rPr>
            </w:pPr>
            <w:r w:rsidRPr="00BF6EA4">
              <w:rPr>
                <w:b/>
                <w:bCs/>
                <w:sz w:val="20"/>
                <w:szCs w:val="20"/>
              </w:rPr>
              <w:t>g/HP-hr</w:t>
            </w:r>
          </w:p>
        </w:tc>
        <w:tc>
          <w:tcPr>
            <w:tcW w:w="0" w:type="auto"/>
            <w:gridSpan w:val="3"/>
            <w:vAlign w:val="bottom"/>
          </w:tcPr>
          <w:p w:rsidR="00BF6EA4" w:rsidRPr="00BF6EA4" w:rsidRDefault="00BF6EA4" w:rsidP="00344C12">
            <w:pPr>
              <w:jc w:val="center"/>
              <w:rPr>
                <w:b/>
                <w:bCs/>
                <w:sz w:val="20"/>
                <w:szCs w:val="20"/>
              </w:rPr>
            </w:pPr>
            <w:r w:rsidRPr="00BF6EA4">
              <w:rPr>
                <w:b/>
                <w:bCs/>
                <w:sz w:val="20"/>
                <w:szCs w:val="20"/>
              </w:rPr>
              <w:t>ppmvd at 15% O</w:t>
            </w:r>
            <w:r w:rsidRPr="00BF6EA4">
              <w:rPr>
                <w:b/>
                <w:bCs/>
                <w:sz w:val="20"/>
                <w:szCs w:val="20"/>
                <w:vertAlign w:val="subscript"/>
              </w:rPr>
              <w:t>2</w:t>
            </w:r>
          </w:p>
        </w:tc>
      </w:tr>
      <w:tr w:rsidR="00BF6EA4" w:rsidRPr="00BF6EA4" w:rsidTr="00344C12">
        <w:trPr>
          <w:tblHeader/>
        </w:trPr>
        <w:tc>
          <w:tcPr>
            <w:tcW w:w="0" w:type="auto"/>
            <w:vMerge/>
            <w:vAlign w:val="center"/>
          </w:tcPr>
          <w:p w:rsidR="00BF6EA4" w:rsidRPr="00BF6EA4" w:rsidRDefault="00BF6EA4" w:rsidP="00344C12">
            <w:pPr>
              <w:rPr>
                <w:b/>
                <w:bCs/>
                <w:sz w:val="20"/>
                <w:szCs w:val="20"/>
              </w:rPr>
            </w:pPr>
          </w:p>
        </w:tc>
        <w:tc>
          <w:tcPr>
            <w:tcW w:w="0" w:type="auto"/>
            <w:vMerge/>
            <w:vAlign w:val="center"/>
          </w:tcPr>
          <w:p w:rsidR="00BF6EA4" w:rsidRPr="00BF6EA4" w:rsidRDefault="00BF6EA4" w:rsidP="00344C12">
            <w:pPr>
              <w:rPr>
                <w:b/>
                <w:bCs/>
                <w:sz w:val="20"/>
                <w:szCs w:val="20"/>
              </w:rPr>
            </w:pPr>
          </w:p>
        </w:tc>
        <w:tc>
          <w:tcPr>
            <w:tcW w:w="0" w:type="auto"/>
            <w:vMerge/>
            <w:vAlign w:val="center"/>
          </w:tcPr>
          <w:p w:rsidR="00BF6EA4" w:rsidRPr="00BF6EA4" w:rsidRDefault="00BF6EA4" w:rsidP="00344C12">
            <w:pPr>
              <w:rPr>
                <w:b/>
                <w:bCs/>
                <w:sz w:val="20"/>
                <w:szCs w:val="20"/>
              </w:rPr>
            </w:pPr>
          </w:p>
        </w:tc>
        <w:tc>
          <w:tcPr>
            <w:tcW w:w="0" w:type="auto"/>
            <w:vAlign w:val="bottom"/>
          </w:tcPr>
          <w:p w:rsidR="00BF6EA4" w:rsidRPr="00BF6EA4" w:rsidRDefault="00BF6EA4" w:rsidP="00344C12">
            <w:pPr>
              <w:jc w:val="center"/>
              <w:rPr>
                <w:b/>
                <w:bCs/>
                <w:sz w:val="20"/>
                <w:szCs w:val="20"/>
              </w:rPr>
            </w:pPr>
            <w:r w:rsidRPr="00BF6EA4">
              <w:rPr>
                <w:b/>
                <w:bCs/>
                <w:sz w:val="20"/>
                <w:szCs w:val="20"/>
              </w:rPr>
              <w:t>NO</w:t>
            </w:r>
            <w:r w:rsidRPr="00BF6EA4">
              <w:rPr>
                <w:b/>
                <w:bCs/>
                <w:sz w:val="20"/>
                <w:szCs w:val="20"/>
                <w:vertAlign w:val="subscript"/>
              </w:rPr>
              <w:t>X</w:t>
            </w:r>
          </w:p>
        </w:tc>
        <w:tc>
          <w:tcPr>
            <w:tcW w:w="0" w:type="auto"/>
            <w:vAlign w:val="bottom"/>
          </w:tcPr>
          <w:p w:rsidR="00BF6EA4" w:rsidRPr="00BF6EA4" w:rsidRDefault="00BF6EA4" w:rsidP="00344C12">
            <w:pPr>
              <w:jc w:val="center"/>
              <w:rPr>
                <w:b/>
                <w:bCs/>
                <w:sz w:val="20"/>
                <w:szCs w:val="20"/>
              </w:rPr>
            </w:pPr>
            <w:r w:rsidRPr="00BF6EA4">
              <w:rPr>
                <w:b/>
                <w:bCs/>
                <w:sz w:val="20"/>
                <w:szCs w:val="20"/>
              </w:rPr>
              <w:t>CO</w:t>
            </w:r>
          </w:p>
        </w:tc>
        <w:tc>
          <w:tcPr>
            <w:tcW w:w="0" w:type="auto"/>
            <w:vAlign w:val="bottom"/>
          </w:tcPr>
          <w:p w:rsidR="00BF6EA4" w:rsidRPr="00BF6EA4" w:rsidRDefault="00BF6EA4" w:rsidP="00344C12">
            <w:pPr>
              <w:jc w:val="center"/>
              <w:rPr>
                <w:b/>
                <w:bCs/>
                <w:sz w:val="20"/>
                <w:szCs w:val="20"/>
              </w:rPr>
            </w:pPr>
            <w:proofErr w:type="spellStart"/>
            <w:r w:rsidRPr="00BF6EA4">
              <w:rPr>
                <w:b/>
                <w:bCs/>
                <w:sz w:val="20"/>
                <w:szCs w:val="20"/>
              </w:rPr>
              <w:t>VOC</w:t>
            </w:r>
            <w:r w:rsidRPr="00BF6EA4">
              <w:rPr>
                <w:b/>
                <w:bCs/>
                <w:sz w:val="20"/>
                <w:szCs w:val="20"/>
                <w:vertAlign w:val="superscript"/>
              </w:rPr>
              <w:t>d</w:t>
            </w:r>
            <w:proofErr w:type="spellEnd"/>
          </w:p>
        </w:tc>
        <w:tc>
          <w:tcPr>
            <w:tcW w:w="0" w:type="auto"/>
            <w:vAlign w:val="bottom"/>
          </w:tcPr>
          <w:p w:rsidR="00BF6EA4" w:rsidRPr="00BF6EA4" w:rsidRDefault="00BF6EA4" w:rsidP="00344C12">
            <w:pPr>
              <w:jc w:val="center"/>
              <w:rPr>
                <w:b/>
                <w:bCs/>
                <w:sz w:val="20"/>
                <w:szCs w:val="20"/>
              </w:rPr>
            </w:pPr>
            <w:r w:rsidRPr="00BF6EA4">
              <w:rPr>
                <w:b/>
                <w:bCs/>
                <w:sz w:val="20"/>
                <w:szCs w:val="20"/>
              </w:rPr>
              <w:t>NO</w:t>
            </w:r>
            <w:r w:rsidRPr="00BF6EA4">
              <w:rPr>
                <w:b/>
                <w:bCs/>
                <w:sz w:val="20"/>
                <w:szCs w:val="20"/>
                <w:vertAlign w:val="subscript"/>
              </w:rPr>
              <w:t>X</w:t>
            </w:r>
          </w:p>
        </w:tc>
        <w:tc>
          <w:tcPr>
            <w:tcW w:w="0" w:type="auto"/>
            <w:vAlign w:val="bottom"/>
          </w:tcPr>
          <w:p w:rsidR="00BF6EA4" w:rsidRPr="00BF6EA4" w:rsidRDefault="00BF6EA4" w:rsidP="00344C12">
            <w:pPr>
              <w:jc w:val="center"/>
              <w:rPr>
                <w:b/>
                <w:bCs/>
                <w:sz w:val="20"/>
                <w:szCs w:val="20"/>
              </w:rPr>
            </w:pPr>
            <w:r w:rsidRPr="00BF6EA4">
              <w:rPr>
                <w:b/>
                <w:bCs/>
                <w:sz w:val="20"/>
                <w:szCs w:val="20"/>
              </w:rPr>
              <w:t>CO</w:t>
            </w:r>
          </w:p>
        </w:tc>
        <w:tc>
          <w:tcPr>
            <w:tcW w:w="0" w:type="auto"/>
            <w:vAlign w:val="bottom"/>
          </w:tcPr>
          <w:p w:rsidR="00BF6EA4" w:rsidRPr="00BF6EA4" w:rsidRDefault="00BF6EA4" w:rsidP="00344C12">
            <w:pPr>
              <w:jc w:val="center"/>
              <w:rPr>
                <w:b/>
                <w:bCs/>
                <w:sz w:val="20"/>
                <w:szCs w:val="20"/>
              </w:rPr>
            </w:pPr>
            <w:proofErr w:type="spellStart"/>
            <w:r w:rsidRPr="00BF6EA4">
              <w:rPr>
                <w:b/>
                <w:bCs/>
                <w:sz w:val="20"/>
                <w:szCs w:val="20"/>
              </w:rPr>
              <w:t>VOC</w:t>
            </w:r>
            <w:r w:rsidRPr="00BF6EA4">
              <w:rPr>
                <w:b/>
                <w:bCs/>
                <w:sz w:val="20"/>
                <w:szCs w:val="20"/>
                <w:vertAlign w:val="superscript"/>
              </w:rPr>
              <w:t>d</w:t>
            </w:r>
            <w:proofErr w:type="spellEnd"/>
          </w:p>
        </w:tc>
      </w:tr>
      <w:tr w:rsidR="00BF6EA4" w:rsidRPr="00BF6EA4" w:rsidTr="00344C12">
        <w:tc>
          <w:tcPr>
            <w:tcW w:w="0" w:type="auto"/>
          </w:tcPr>
          <w:p w:rsidR="00BF6EA4" w:rsidRPr="00BF6EA4" w:rsidRDefault="00BF6EA4" w:rsidP="00344C12">
            <w:pPr>
              <w:rPr>
                <w:sz w:val="20"/>
                <w:szCs w:val="20"/>
              </w:rPr>
            </w:pPr>
            <w:r w:rsidRPr="00BF6EA4">
              <w:rPr>
                <w:sz w:val="20"/>
                <w:szCs w:val="20"/>
              </w:rPr>
              <w:t xml:space="preserve">Non-Emergency SI Natural </w:t>
            </w:r>
            <w:proofErr w:type="spellStart"/>
            <w:r w:rsidRPr="00BF6EA4">
              <w:rPr>
                <w:sz w:val="20"/>
                <w:szCs w:val="20"/>
              </w:rPr>
              <w:t>Gas</w:t>
            </w:r>
            <w:r w:rsidRPr="00BF6EA4">
              <w:rPr>
                <w:sz w:val="20"/>
                <w:szCs w:val="20"/>
                <w:vertAlign w:val="superscript"/>
              </w:rPr>
              <w:t>b</w:t>
            </w:r>
            <w:proofErr w:type="spellEnd"/>
            <w:r w:rsidRPr="00BF6EA4">
              <w:rPr>
                <w:sz w:val="20"/>
                <w:szCs w:val="20"/>
                <w:vertAlign w:val="superscript"/>
              </w:rPr>
              <w:t xml:space="preserve"> </w:t>
            </w:r>
            <w:r w:rsidRPr="00BF6EA4">
              <w:rPr>
                <w:sz w:val="20"/>
                <w:szCs w:val="20"/>
              </w:rPr>
              <w:t xml:space="preserve">and Non-Emergency SI Lean Burn </w:t>
            </w:r>
            <w:proofErr w:type="spellStart"/>
            <w:r w:rsidRPr="00BF6EA4">
              <w:rPr>
                <w:sz w:val="20"/>
                <w:szCs w:val="20"/>
              </w:rPr>
              <w:t>LPG</w:t>
            </w:r>
            <w:r w:rsidRPr="00BF6EA4">
              <w:rPr>
                <w:sz w:val="20"/>
                <w:szCs w:val="20"/>
                <w:vertAlign w:val="superscript"/>
              </w:rPr>
              <w:t>b</w:t>
            </w:r>
            <w:proofErr w:type="spellEnd"/>
          </w:p>
        </w:tc>
        <w:tc>
          <w:tcPr>
            <w:tcW w:w="0" w:type="auto"/>
          </w:tcPr>
          <w:p w:rsidR="00BF6EA4" w:rsidRPr="00BF6EA4" w:rsidRDefault="00BF6EA4" w:rsidP="00344C12">
            <w:pPr>
              <w:rPr>
                <w:sz w:val="20"/>
                <w:szCs w:val="20"/>
              </w:rPr>
            </w:pPr>
            <w:r w:rsidRPr="00BF6EA4">
              <w:rPr>
                <w:sz w:val="20"/>
                <w:szCs w:val="20"/>
              </w:rPr>
              <w:t>100≤HP&lt;500</w:t>
            </w:r>
          </w:p>
        </w:tc>
        <w:tc>
          <w:tcPr>
            <w:tcW w:w="0" w:type="auto"/>
          </w:tcPr>
          <w:p w:rsidR="00BF6EA4" w:rsidRPr="00BF6EA4" w:rsidRDefault="00BF6EA4" w:rsidP="00344C12">
            <w:pPr>
              <w:jc w:val="right"/>
              <w:rPr>
                <w:sz w:val="20"/>
                <w:szCs w:val="20"/>
              </w:rPr>
            </w:pPr>
            <w:r w:rsidRPr="00BF6EA4">
              <w:rPr>
                <w:sz w:val="20"/>
                <w:szCs w:val="20"/>
              </w:rPr>
              <w:t>7/1/2008</w:t>
            </w:r>
            <w:r w:rsidRPr="00BF6EA4">
              <w:rPr>
                <w:sz w:val="20"/>
                <w:szCs w:val="20"/>
              </w:rPr>
              <w:br/>
              <w:t>1/1/2011</w:t>
            </w:r>
          </w:p>
        </w:tc>
        <w:tc>
          <w:tcPr>
            <w:tcW w:w="0" w:type="auto"/>
          </w:tcPr>
          <w:p w:rsidR="00BF6EA4" w:rsidRPr="00BF6EA4" w:rsidRDefault="00BF6EA4" w:rsidP="00344C12">
            <w:pPr>
              <w:jc w:val="right"/>
              <w:rPr>
                <w:sz w:val="20"/>
                <w:szCs w:val="20"/>
              </w:rPr>
            </w:pPr>
            <w:r w:rsidRPr="00BF6EA4">
              <w:rPr>
                <w:sz w:val="20"/>
                <w:szCs w:val="20"/>
              </w:rPr>
              <w:t>2.0</w:t>
            </w:r>
            <w:r w:rsidRPr="00BF6EA4">
              <w:rPr>
                <w:sz w:val="20"/>
                <w:szCs w:val="20"/>
              </w:rPr>
              <w:br/>
              <w:t>1.0</w:t>
            </w:r>
          </w:p>
        </w:tc>
        <w:tc>
          <w:tcPr>
            <w:tcW w:w="0" w:type="auto"/>
          </w:tcPr>
          <w:p w:rsidR="00BF6EA4" w:rsidRPr="00BF6EA4" w:rsidRDefault="00BF6EA4" w:rsidP="00344C12">
            <w:pPr>
              <w:jc w:val="right"/>
              <w:rPr>
                <w:sz w:val="20"/>
                <w:szCs w:val="20"/>
              </w:rPr>
            </w:pPr>
            <w:r w:rsidRPr="00BF6EA4">
              <w:rPr>
                <w:sz w:val="20"/>
                <w:szCs w:val="20"/>
              </w:rPr>
              <w:t>4.0</w:t>
            </w:r>
            <w:r w:rsidRPr="00BF6EA4">
              <w:rPr>
                <w:sz w:val="20"/>
                <w:szCs w:val="20"/>
              </w:rPr>
              <w:br/>
              <w:t>2.0</w:t>
            </w:r>
          </w:p>
        </w:tc>
        <w:tc>
          <w:tcPr>
            <w:tcW w:w="0" w:type="auto"/>
          </w:tcPr>
          <w:p w:rsidR="00BF6EA4" w:rsidRPr="00BF6EA4" w:rsidRDefault="00BF6EA4" w:rsidP="00344C12">
            <w:pPr>
              <w:jc w:val="right"/>
              <w:rPr>
                <w:sz w:val="20"/>
                <w:szCs w:val="20"/>
              </w:rPr>
            </w:pPr>
            <w:r w:rsidRPr="00BF6EA4">
              <w:rPr>
                <w:sz w:val="20"/>
                <w:szCs w:val="20"/>
              </w:rPr>
              <w:t>1.0</w:t>
            </w:r>
            <w:r w:rsidRPr="00BF6EA4">
              <w:rPr>
                <w:sz w:val="20"/>
                <w:szCs w:val="20"/>
              </w:rPr>
              <w:br/>
              <w:t>0.7</w:t>
            </w:r>
          </w:p>
        </w:tc>
        <w:tc>
          <w:tcPr>
            <w:tcW w:w="0" w:type="auto"/>
          </w:tcPr>
          <w:p w:rsidR="00BF6EA4" w:rsidRPr="00BF6EA4" w:rsidRDefault="00BF6EA4" w:rsidP="00344C12">
            <w:pPr>
              <w:jc w:val="right"/>
              <w:rPr>
                <w:sz w:val="20"/>
                <w:szCs w:val="20"/>
              </w:rPr>
            </w:pPr>
            <w:r w:rsidRPr="00BF6EA4">
              <w:rPr>
                <w:sz w:val="20"/>
                <w:szCs w:val="20"/>
              </w:rPr>
              <w:t>160</w:t>
            </w:r>
            <w:r w:rsidRPr="00BF6EA4">
              <w:rPr>
                <w:sz w:val="20"/>
                <w:szCs w:val="20"/>
              </w:rPr>
              <w:br/>
              <w:t>82</w:t>
            </w:r>
          </w:p>
        </w:tc>
        <w:tc>
          <w:tcPr>
            <w:tcW w:w="0" w:type="auto"/>
          </w:tcPr>
          <w:p w:rsidR="00BF6EA4" w:rsidRPr="00BF6EA4" w:rsidRDefault="00BF6EA4" w:rsidP="00344C12">
            <w:pPr>
              <w:jc w:val="right"/>
              <w:rPr>
                <w:sz w:val="20"/>
                <w:szCs w:val="20"/>
              </w:rPr>
            </w:pPr>
            <w:r w:rsidRPr="00BF6EA4">
              <w:rPr>
                <w:sz w:val="20"/>
                <w:szCs w:val="20"/>
              </w:rPr>
              <w:t>540</w:t>
            </w:r>
            <w:r w:rsidRPr="00BF6EA4">
              <w:rPr>
                <w:sz w:val="20"/>
                <w:szCs w:val="20"/>
              </w:rPr>
              <w:br/>
              <w:t>270</w:t>
            </w:r>
          </w:p>
        </w:tc>
        <w:tc>
          <w:tcPr>
            <w:tcW w:w="0" w:type="auto"/>
          </w:tcPr>
          <w:p w:rsidR="00BF6EA4" w:rsidRPr="00BF6EA4" w:rsidRDefault="00BF6EA4" w:rsidP="00344C12">
            <w:pPr>
              <w:jc w:val="right"/>
              <w:rPr>
                <w:sz w:val="20"/>
                <w:szCs w:val="20"/>
              </w:rPr>
            </w:pPr>
            <w:r w:rsidRPr="00BF6EA4">
              <w:rPr>
                <w:sz w:val="20"/>
                <w:szCs w:val="20"/>
              </w:rPr>
              <w:t>86</w:t>
            </w:r>
            <w:r w:rsidRPr="00BF6EA4">
              <w:rPr>
                <w:sz w:val="20"/>
                <w:szCs w:val="20"/>
              </w:rPr>
              <w:br/>
              <w:t>60</w:t>
            </w:r>
          </w:p>
        </w:tc>
      </w:tr>
      <w:tr w:rsidR="00BF6EA4" w:rsidRPr="00BF6EA4" w:rsidTr="00344C12">
        <w:tc>
          <w:tcPr>
            <w:tcW w:w="0" w:type="auto"/>
          </w:tcPr>
          <w:p w:rsidR="00BF6EA4" w:rsidRPr="00BF6EA4" w:rsidRDefault="00BF6EA4" w:rsidP="00344C12">
            <w:pPr>
              <w:rPr>
                <w:sz w:val="20"/>
                <w:szCs w:val="20"/>
              </w:rPr>
            </w:pPr>
            <w:r w:rsidRPr="00BF6EA4">
              <w:rPr>
                <w:sz w:val="20"/>
                <w:szCs w:val="20"/>
              </w:rPr>
              <w:t>Non-Emergency SI Lean Burn Natural Gas and LPG</w:t>
            </w:r>
          </w:p>
        </w:tc>
        <w:tc>
          <w:tcPr>
            <w:tcW w:w="0" w:type="auto"/>
          </w:tcPr>
          <w:p w:rsidR="00BF6EA4" w:rsidRPr="00BF6EA4" w:rsidRDefault="00BF6EA4" w:rsidP="00344C12">
            <w:pPr>
              <w:rPr>
                <w:sz w:val="20"/>
                <w:szCs w:val="20"/>
              </w:rPr>
            </w:pPr>
            <w:r w:rsidRPr="00BF6EA4">
              <w:rPr>
                <w:sz w:val="20"/>
                <w:szCs w:val="20"/>
              </w:rPr>
              <w:t>500</w:t>
            </w:r>
            <w:r w:rsidR="00653B51" w:rsidRPr="00BF6EA4">
              <w:rPr>
                <w:sz w:val="20"/>
                <w:szCs w:val="20"/>
              </w:rPr>
              <w:t>≤</w:t>
            </w:r>
            <w:r w:rsidRPr="00BF6EA4">
              <w:rPr>
                <w:sz w:val="20"/>
                <w:szCs w:val="20"/>
              </w:rPr>
              <w:t>HP&lt;1,350</w:t>
            </w:r>
          </w:p>
        </w:tc>
        <w:tc>
          <w:tcPr>
            <w:tcW w:w="0" w:type="auto"/>
          </w:tcPr>
          <w:p w:rsidR="00BF6EA4" w:rsidRPr="00BF6EA4" w:rsidRDefault="00BF6EA4" w:rsidP="00344C12">
            <w:pPr>
              <w:jc w:val="right"/>
              <w:rPr>
                <w:sz w:val="20"/>
                <w:szCs w:val="20"/>
              </w:rPr>
            </w:pPr>
            <w:r w:rsidRPr="00BF6EA4">
              <w:rPr>
                <w:sz w:val="20"/>
                <w:szCs w:val="20"/>
              </w:rPr>
              <w:t>1/1/2008</w:t>
            </w:r>
            <w:r w:rsidRPr="00BF6EA4">
              <w:rPr>
                <w:sz w:val="20"/>
                <w:szCs w:val="20"/>
              </w:rPr>
              <w:br/>
              <w:t>7/1/2010</w:t>
            </w:r>
          </w:p>
        </w:tc>
        <w:tc>
          <w:tcPr>
            <w:tcW w:w="0" w:type="auto"/>
          </w:tcPr>
          <w:p w:rsidR="00BF6EA4" w:rsidRPr="00BF6EA4" w:rsidRDefault="00BF6EA4" w:rsidP="00344C12">
            <w:pPr>
              <w:jc w:val="right"/>
              <w:rPr>
                <w:sz w:val="20"/>
                <w:szCs w:val="20"/>
              </w:rPr>
            </w:pPr>
            <w:r w:rsidRPr="00BF6EA4">
              <w:rPr>
                <w:sz w:val="20"/>
                <w:szCs w:val="20"/>
              </w:rPr>
              <w:t>2.0</w:t>
            </w:r>
            <w:r w:rsidRPr="00BF6EA4">
              <w:rPr>
                <w:sz w:val="20"/>
                <w:szCs w:val="20"/>
              </w:rPr>
              <w:br/>
              <w:t>1.0</w:t>
            </w:r>
          </w:p>
        </w:tc>
        <w:tc>
          <w:tcPr>
            <w:tcW w:w="0" w:type="auto"/>
          </w:tcPr>
          <w:p w:rsidR="00BF6EA4" w:rsidRPr="00BF6EA4" w:rsidRDefault="00BF6EA4" w:rsidP="00344C12">
            <w:pPr>
              <w:jc w:val="right"/>
              <w:rPr>
                <w:sz w:val="20"/>
                <w:szCs w:val="20"/>
              </w:rPr>
            </w:pPr>
            <w:r w:rsidRPr="00BF6EA4">
              <w:rPr>
                <w:sz w:val="20"/>
                <w:szCs w:val="20"/>
              </w:rPr>
              <w:t>4.0</w:t>
            </w:r>
            <w:r w:rsidRPr="00BF6EA4">
              <w:rPr>
                <w:sz w:val="20"/>
                <w:szCs w:val="20"/>
              </w:rPr>
              <w:br/>
              <w:t>2.0</w:t>
            </w:r>
          </w:p>
        </w:tc>
        <w:tc>
          <w:tcPr>
            <w:tcW w:w="0" w:type="auto"/>
          </w:tcPr>
          <w:p w:rsidR="00BF6EA4" w:rsidRPr="00BF6EA4" w:rsidRDefault="00BF6EA4" w:rsidP="00344C12">
            <w:pPr>
              <w:jc w:val="right"/>
              <w:rPr>
                <w:sz w:val="20"/>
                <w:szCs w:val="20"/>
              </w:rPr>
            </w:pPr>
            <w:r w:rsidRPr="00BF6EA4">
              <w:rPr>
                <w:sz w:val="20"/>
                <w:szCs w:val="20"/>
              </w:rPr>
              <w:t>1.0</w:t>
            </w:r>
            <w:r w:rsidRPr="00BF6EA4">
              <w:rPr>
                <w:sz w:val="20"/>
                <w:szCs w:val="20"/>
              </w:rPr>
              <w:br/>
              <w:t>0.7</w:t>
            </w:r>
          </w:p>
        </w:tc>
        <w:tc>
          <w:tcPr>
            <w:tcW w:w="0" w:type="auto"/>
          </w:tcPr>
          <w:p w:rsidR="00BF6EA4" w:rsidRPr="00BF6EA4" w:rsidRDefault="00BF6EA4" w:rsidP="00344C12">
            <w:pPr>
              <w:jc w:val="right"/>
              <w:rPr>
                <w:sz w:val="20"/>
                <w:szCs w:val="20"/>
              </w:rPr>
            </w:pPr>
            <w:r w:rsidRPr="00BF6EA4">
              <w:rPr>
                <w:sz w:val="20"/>
                <w:szCs w:val="20"/>
              </w:rPr>
              <w:t>160</w:t>
            </w:r>
            <w:r w:rsidRPr="00BF6EA4">
              <w:rPr>
                <w:sz w:val="20"/>
                <w:szCs w:val="20"/>
              </w:rPr>
              <w:br/>
              <w:t>82</w:t>
            </w:r>
          </w:p>
        </w:tc>
        <w:tc>
          <w:tcPr>
            <w:tcW w:w="0" w:type="auto"/>
          </w:tcPr>
          <w:p w:rsidR="00BF6EA4" w:rsidRPr="00BF6EA4" w:rsidRDefault="00BF6EA4" w:rsidP="00344C12">
            <w:pPr>
              <w:jc w:val="right"/>
              <w:rPr>
                <w:sz w:val="20"/>
                <w:szCs w:val="20"/>
              </w:rPr>
            </w:pPr>
            <w:r w:rsidRPr="00BF6EA4">
              <w:rPr>
                <w:sz w:val="20"/>
                <w:szCs w:val="20"/>
              </w:rPr>
              <w:t>540</w:t>
            </w:r>
            <w:r w:rsidRPr="00BF6EA4">
              <w:rPr>
                <w:sz w:val="20"/>
                <w:szCs w:val="20"/>
              </w:rPr>
              <w:br/>
              <w:t>270</w:t>
            </w:r>
          </w:p>
        </w:tc>
        <w:tc>
          <w:tcPr>
            <w:tcW w:w="0" w:type="auto"/>
          </w:tcPr>
          <w:p w:rsidR="00BF6EA4" w:rsidRPr="00BF6EA4" w:rsidRDefault="00BF6EA4" w:rsidP="00344C12">
            <w:pPr>
              <w:jc w:val="right"/>
              <w:rPr>
                <w:sz w:val="20"/>
                <w:szCs w:val="20"/>
              </w:rPr>
            </w:pPr>
            <w:r w:rsidRPr="00BF6EA4">
              <w:rPr>
                <w:sz w:val="20"/>
                <w:szCs w:val="20"/>
              </w:rPr>
              <w:t>86</w:t>
            </w:r>
            <w:r w:rsidRPr="00BF6EA4">
              <w:rPr>
                <w:sz w:val="20"/>
                <w:szCs w:val="20"/>
              </w:rPr>
              <w:br/>
              <w:t>60</w:t>
            </w:r>
          </w:p>
        </w:tc>
      </w:tr>
      <w:tr w:rsidR="00BF6EA4" w:rsidRPr="00BF6EA4" w:rsidTr="00344C12">
        <w:tc>
          <w:tcPr>
            <w:tcW w:w="0" w:type="auto"/>
          </w:tcPr>
          <w:p w:rsidR="00BF6EA4" w:rsidRPr="00BF6EA4" w:rsidRDefault="00BF6EA4" w:rsidP="00344C12">
            <w:pPr>
              <w:rPr>
                <w:sz w:val="20"/>
                <w:szCs w:val="20"/>
              </w:rPr>
            </w:pPr>
            <w:r w:rsidRPr="00BF6EA4">
              <w:rPr>
                <w:sz w:val="20"/>
                <w:szCs w:val="20"/>
              </w:rPr>
              <w:t>Non-Emergency SI Natural Gas and Non-Emergency SI Lean Burn LPG (except lean burn 500=≥HP&lt;1,350)</w:t>
            </w:r>
          </w:p>
        </w:tc>
        <w:tc>
          <w:tcPr>
            <w:tcW w:w="0" w:type="auto"/>
          </w:tcPr>
          <w:p w:rsidR="00BF6EA4" w:rsidRPr="00BF6EA4" w:rsidRDefault="00BF6EA4" w:rsidP="00344C12">
            <w:pPr>
              <w:rPr>
                <w:sz w:val="20"/>
                <w:szCs w:val="20"/>
              </w:rPr>
            </w:pPr>
            <w:r w:rsidRPr="00BF6EA4">
              <w:rPr>
                <w:sz w:val="20"/>
                <w:szCs w:val="20"/>
              </w:rPr>
              <w:t>HP≥500</w:t>
            </w:r>
            <w:r w:rsidRPr="00BF6EA4">
              <w:rPr>
                <w:sz w:val="20"/>
                <w:szCs w:val="20"/>
              </w:rPr>
              <w:br/>
              <w:t>HP≥500</w:t>
            </w:r>
          </w:p>
        </w:tc>
        <w:tc>
          <w:tcPr>
            <w:tcW w:w="0" w:type="auto"/>
          </w:tcPr>
          <w:p w:rsidR="00BF6EA4" w:rsidRPr="00BF6EA4" w:rsidRDefault="00BF6EA4" w:rsidP="00344C12">
            <w:pPr>
              <w:jc w:val="right"/>
              <w:rPr>
                <w:sz w:val="20"/>
                <w:szCs w:val="20"/>
              </w:rPr>
            </w:pPr>
            <w:r w:rsidRPr="00BF6EA4">
              <w:rPr>
                <w:sz w:val="20"/>
                <w:szCs w:val="20"/>
              </w:rPr>
              <w:t>7/1/2007</w:t>
            </w:r>
            <w:r w:rsidRPr="00BF6EA4">
              <w:rPr>
                <w:sz w:val="20"/>
                <w:szCs w:val="20"/>
              </w:rPr>
              <w:br/>
              <w:t>7/1/2010</w:t>
            </w:r>
          </w:p>
        </w:tc>
        <w:tc>
          <w:tcPr>
            <w:tcW w:w="0" w:type="auto"/>
          </w:tcPr>
          <w:p w:rsidR="00BF6EA4" w:rsidRPr="00BF6EA4" w:rsidRDefault="00BF6EA4" w:rsidP="00344C12">
            <w:pPr>
              <w:jc w:val="right"/>
              <w:rPr>
                <w:sz w:val="20"/>
                <w:szCs w:val="20"/>
              </w:rPr>
            </w:pPr>
            <w:r w:rsidRPr="00BF6EA4">
              <w:rPr>
                <w:sz w:val="20"/>
                <w:szCs w:val="20"/>
              </w:rPr>
              <w:t>2.0</w:t>
            </w:r>
            <w:r w:rsidRPr="00BF6EA4">
              <w:rPr>
                <w:sz w:val="20"/>
                <w:szCs w:val="20"/>
              </w:rPr>
              <w:br/>
              <w:t>1.0</w:t>
            </w:r>
          </w:p>
        </w:tc>
        <w:tc>
          <w:tcPr>
            <w:tcW w:w="0" w:type="auto"/>
          </w:tcPr>
          <w:p w:rsidR="00BF6EA4" w:rsidRPr="00BF6EA4" w:rsidRDefault="00BF6EA4" w:rsidP="00344C12">
            <w:pPr>
              <w:jc w:val="right"/>
              <w:rPr>
                <w:sz w:val="20"/>
                <w:szCs w:val="20"/>
              </w:rPr>
            </w:pPr>
            <w:r w:rsidRPr="00BF6EA4">
              <w:rPr>
                <w:sz w:val="20"/>
                <w:szCs w:val="20"/>
              </w:rPr>
              <w:t>4.0</w:t>
            </w:r>
            <w:r w:rsidRPr="00BF6EA4">
              <w:rPr>
                <w:sz w:val="20"/>
                <w:szCs w:val="20"/>
              </w:rPr>
              <w:br/>
              <w:t>2.0</w:t>
            </w:r>
          </w:p>
        </w:tc>
        <w:tc>
          <w:tcPr>
            <w:tcW w:w="0" w:type="auto"/>
          </w:tcPr>
          <w:p w:rsidR="00BF6EA4" w:rsidRPr="00BF6EA4" w:rsidRDefault="00BF6EA4" w:rsidP="00344C12">
            <w:pPr>
              <w:jc w:val="right"/>
              <w:rPr>
                <w:sz w:val="20"/>
                <w:szCs w:val="20"/>
              </w:rPr>
            </w:pPr>
            <w:r w:rsidRPr="00BF6EA4">
              <w:rPr>
                <w:sz w:val="20"/>
                <w:szCs w:val="20"/>
              </w:rPr>
              <w:t>1.0</w:t>
            </w:r>
            <w:r w:rsidRPr="00BF6EA4">
              <w:rPr>
                <w:sz w:val="20"/>
                <w:szCs w:val="20"/>
              </w:rPr>
              <w:br/>
              <w:t>0.7</w:t>
            </w:r>
          </w:p>
        </w:tc>
        <w:tc>
          <w:tcPr>
            <w:tcW w:w="0" w:type="auto"/>
          </w:tcPr>
          <w:p w:rsidR="00BF6EA4" w:rsidRPr="00BF6EA4" w:rsidRDefault="00BF6EA4" w:rsidP="00344C12">
            <w:pPr>
              <w:jc w:val="right"/>
              <w:rPr>
                <w:sz w:val="20"/>
                <w:szCs w:val="20"/>
              </w:rPr>
            </w:pPr>
            <w:r w:rsidRPr="00BF6EA4">
              <w:rPr>
                <w:sz w:val="20"/>
                <w:szCs w:val="20"/>
              </w:rPr>
              <w:t>160</w:t>
            </w:r>
            <w:r w:rsidRPr="00BF6EA4">
              <w:rPr>
                <w:sz w:val="20"/>
                <w:szCs w:val="20"/>
              </w:rPr>
              <w:br/>
              <w:t>82</w:t>
            </w:r>
          </w:p>
        </w:tc>
        <w:tc>
          <w:tcPr>
            <w:tcW w:w="0" w:type="auto"/>
          </w:tcPr>
          <w:p w:rsidR="00BF6EA4" w:rsidRPr="00BF6EA4" w:rsidRDefault="00BF6EA4" w:rsidP="00344C12">
            <w:pPr>
              <w:jc w:val="right"/>
              <w:rPr>
                <w:sz w:val="20"/>
                <w:szCs w:val="20"/>
              </w:rPr>
            </w:pPr>
            <w:r w:rsidRPr="00BF6EA4">
              <w:rPr>
                <w:sz w:val="20"/>
                <w:szCs w:val="20"/>
              </w:rPr>
              <w:t>540</w:t>
            </w:r>
            <w:r w:rsidRPr="00BF6EA4">
              <w:rPr>
                <w:sz w:val="20"/>
                <w:szCs w:val="20"/>
              </w:rPr>
              <w:br/>
              <w:t>270</w:t>
            </w:r>
          </w:p>
        </w:tc>
        <w:tc>
          <w:tcPr>
            <w:tcW w:w="0" w:type="auto"/>
          </w:tcPr>
          <w:p w:rsidR="00BF6EA4" w:rsidRPr="00BF6EA4" w:rsidRDefault="00BF6EA4" w:rsidP="00344C12">
            <w:pPr>
              <w:jc w:val="right"/>
              <w:rPr>
                <w:sz w:val="20"/>
                <w:szCs w:val="20"/>
              </w:rPr>
            </w:pPr>
            <w:r w:rsidRPr="00BF6EA4">
              <w:rPr>
                <w:sz w:val="20"/>
                <w:szCs w:val="20"/>
              </w:rPr>
              <w:t>86</w:t>
            </w:r>
            <w:r w:rsidRPr="00BF6EA4">
              <w:rPr>
                <w:sz w:val="20"/>
                <w:szCs w:val="20"/>
              </w:rPr>
              <w:br/>
              <w:t>60</w:t>
            </w:r>
          </w:p>
        </w:tc>
      </w:tr>
      <w:tr w:rsidR="00BF6EA4" w:rsidRPr="00BF6EA4" w:rsidTr="00344C12">
        <w:tc>
          <w:tcPr>
            <w:tcW w:w="0" w:type="auto"/>
          </w:tcPr>
          <w:p w:rsidR="00BF6EA4" w:rsidRPr="00BF6EA4" w:rsidRDefault="00BF6EA4" w:rsidP="00344C12">
            <w:pPr>
              <w:rPr>
                <w:sz w:val="20"/>
                <w:szCs w:val="20"/>
              </w:rPr>
            </w:pPr>
            <w:r w:rsidRPr="00BF6EA4">
              <w:rPr>
                <w:sz w:val="20"/>
                <w:szCs w:val="20"/>
              </w:rPr>
              <w:t xml:space="preserve">Landfill/Digester Gas (except lean burn </w:t>
            </w:r>
            <w:r w:rsidRPr="00BF6EA4">
              <w:rPr>
                <w:sz w:val="20"/>
                <w:szCs w:val="20"/>
              </w:rPr>
              <w:lastRenderedPageBreak/>
              <w:t>500≥HP&lt;1,350)</w:t>
            </w:r>
          </w:p>
        </w:tc>
        <w:tc>
          <w:tcPr>
            <w:tcW w:w="0" w:type="auto"/>
          </w:tcPr>
          <w:p w:rsidR="00BF6EA4" w:rsidRPr="00BF6EA4" w:rsidRDefault="00BF6EA4" w:rsidP="00344C12">
            <w:pPr>
              <w:rPr>
                <w:sz w:val="20"/>
                <w:szCs w:val="20"/>
              </w:rPr>
            </w:pPr>
            <w:r w:rsidRPr="00BF6EA4">
              <w:rPr>
                <w:sz w:val="20"/>
                <w:szCs w:val="20"/>
              </w:rPr>
              <w:lastRenderedPageBreak/>
              <w:t>HP&lt;500</w:t>
            </w:r>
          </w:p>
        </w:tc>
        <w:tc>
          <w:tcPr>
            <w:tcW w:w="0" w:type="auto"/>
          </w:tcPr>
          <w:p w:rsidR="00BF6EA4" w:rsidRPr="00BF6EA4" w:rsidRDefault="00BF6EA4" w:rsidP="00344C12">
            <w:pPr>
              <w:jc w:val="right"/>
              <w:rPr>
                <w:sz w:val="20"/>
                <w:szCs w:val="20"/>
              </w:rPr>
            </w:pPr>
            <w:r w:rsidRPr="00BF6EA4">
              <w:rPr>
                <w:sz w:val="20"/>
                <w:szCs w:val="20"/>
              </w:rPr>
              <w:t>7/1/2008</w:t>
            </w:r>
            <w:r w:rsidRPr="00BF6EA4">
              <w:rPr>
                <w:sz w:val="20"/>
                <w:szCs w:val="20"/>
              </w:rPr>
              <w:br/>
            </w:r>
            <w:r w:rsidRPr="00BF6EA4">
              <w:rPr>
                <w:sz w:val="20"/>
                <w:szCs w:val="20"/>
              </w:rPr>
              <w:lastRenderedPageBreak/>
              <w:t>1/1/2011</w:t>
            </w:r>
          </w:p>
        </w:tc>
        <w:tc>
          <w:tcPr>
            <w:tcW w:w="0" w:type="auto"/>
          </w:tcPr>
          <w:p w:rsidR="00BF6EA4" w:rsidRPr="00BF6EA4" w:rsidRDefault="00BF6EA4" w:rsidP="00344C12">
            <w:pPr>
              <w:jc w:val="right"/>
              <w:rPr>
                <w:sz w:val="20"/>
                <w:szCs w:val="20"/>
              </w:rPr>
            </w:pPr>
            <w:r w:rsidRPr="00BF6EA4">
              <w:rPr>
                <w:sz w:val="20"/>
                <w:szCs w:val="20"/>
              </w:rPr>
              <w:lastRenderedPageBreak/>
              <w:t>3.0</w:t>
            </w:r>
            <w:r w:rsidRPr="00BF6EA4">
              <w:rPr>
                <w:sz w:val="20"/>
                <w:szCs w:val="20"/>
              </w:rPr>
              <w:br/>
            </w:r>
            <w:r w:rsidRPr="00BF6EA4">
              <w:rPr>
                <w:sz w:val="20"/>
                <w:szCs w:val="20"/>
              </w:rPr>
              <w:lastRenderedPageBreak/>
              <w:t>2.0</w:t>
            </w:r>
          </w:p>
        </w:tc>
        <w:tc>
          <w:tcPr>
            <w:tcW w:w="0" w:type="auto"/>
          </w:tcPr>
          <w:p w:rsidR="00BF6EA4" w:rsidRPr="00BF6EA4" w:rsidRDefault="00BF6EA4" w:rsidP="00344C12">
            <w:pPr>
              <w:jc w:val="right"/>
              <w:rPr>
                <w:sz w:val="20"/>
                <w:szCs w:val="20"/>
              </w:rPr>
            </w:pPr>
            <w:r w:rsidRPr="00BF6EA4">
              <w:rPr>
                <w:sz w:val="20"/>
                <w:szCs w:val="20"/>
              </w:rPr>
              <w:lastRenderedPageBreak/>
              <w:t>5.0</w:t>
            </w:r>
            <w:r w:rsidRPr="00BF6EA4">
              <w:rPr>
                <w:sz w:val="20"/>
                <w:szCs w:val="20"/>
              </w:rPr>
              <w:br/>
            </w:r>
            <w:r w:rsidRPr="00BF6EA4">
              <w:rPr>
                <w:sz w:val="20"/>
                <w:szCs w:val="20"/>
              </w:rPr>
              <w:lastRenderedPageBreak/>
              <w:t>5.0</w:t>
            </w:r>
          </w:p>
        </w:tc>
        <w:tc>
          <w:tcPr>
            <w:tcW w:w="0" w:type="auto"/>
          </w:tcPr>
          <w:p w:rsidR="00BF6EA4" w:rsidRPr="00BF6EA4" w:rsidRDefault="00BF6EA4" w:rsidP="00344C12">
            <w:pPr>
              <w:jc w:val="right"/>
              <w:rPr>
                <w:sz w:val="20"/>
                <w:szCs w:val="20"/>
              </w:rPr>
            </w:pPr>
            <w:r w:rsidRPr="00BF6EA4">
              <w:rPr>
                <w:sz w:val="20"/>
                <w:szCs w:val="20"/>
              </w:rPr>
              <w:lastRenderedPageBreak/>
              <w:t>1.0</w:t>
            </w:r>
            <w:r w:rsidRPr="00BF6EA4">
              <w:rPr>
                <w:sz w:val="20"/>
                <w:szCs w:val="20"/>
              </w:rPr>
              <w:br/>
            </w:r>
            <w:r w:rsidRPr="00BF6EA4">
              <w:rPr>
                <w:sz w:val="20"/>
                <w:szCs w:val="20"/>
              </w:rPr>
              <w:lastRenderedPageBreak/>
              <w:t>1.0</w:t>
            </w:r>
          </w:p>
        </w:tc>
        <w:tc>
          <w:tcPr>
            <w:tcW w:w="0" w:type="auto"/>
          </w:tcPr>
          <w:p w:rsidR="00BF6EA4" w:rsidRPr="00BF6EA4" w:rsidRDefault="00BF6EA4" w:rsidP="00344C12">
            <w:pPr>
              <w:jc w:val="right"/>
              <w:rPr>
                <w:sz w:val="20"/>
                <w:szCs w:val="20"/>
              </w:rPr>
            </w:pPr>
            <w:r w:rsidRPr="00BF6EA4">
              <w:rPr>
                <w:sz w:val="20"/>
                <w:szCs w:val="20"/>
              </w:rPr>
              <w:lastRenderedPageBreak/>
              <w:t>220</w:t>
            </w:r>
            <w:r w:rsidRPr="00BF6EA4">
              <w:rPr>
                <w:sz w:val="20"/>
                <w:szCs w:val="20"/>
              </w:rPr>
              <w:br/>
            </w:r>
            <w:r w:rsidRPr="00BF6EA4">
              <w:rPr>
                <w:sz w:val="20"/>
                <w:szCs w:val="20"/>
              </w:rPr>
              <w:lastRenderedPageBreak/>
              <w:t>150</w:t>
            </w:r>
          </w:p>
        </w:tc>
        <w:tc>
          <w:tcPr>
            <w:tcW w:w="0" w:type="auto"/>
          </w:tcPr>
          <w:p w:rsidR="00BF6EA4" w:rsidRPr="00BF6EA4" w:rsidRDefault="00BF6EA4" w:rsidP="00344C12">
            <w:pPr>
              <w:jc w:val="right"/>
              <w:rPr>
                <w:sz w:val="20"/>
                <w:szCs w:val="20"/>
              </w:rPr>
            </w:pPr>
            <w:r w:rsidRPr="00BF6EA4">
              <w:rPr>
                <w:sz w:val="20"/>
                <w:szCs w:val="20"/>
              </w:rPr>
              <w:lastRenderedPageBreak/>
              <w:t>610</w:t>
            </w:r>
            <w:r w:rsidRPr="00BF6EA4">
              <w:rPr>
                <w:sz w:val="20"/>
                <w:szCs w:val="20"/>
              </w:rPr>
              <w:br/>
            </w:r>
            <w:r w:rsidRPr="00BF6EA4">
              <w:rPr>
                <w:sz w:val="20"/>
                <w:szCs w:val="20"/>
              </w:rPr>
              <w:lastRenderedPageBreak/>
              <w:t>610</w:t>
            </w:r>
          </w:p>
        </w:tc>
        <w:tc>
          <w:tcPr>
            <w:tcW w:w="0" w:type="auto"/>
          </w:tcPr>
          <w:p w:rsidR="00BF6EA4" w:rsidRPr="00BF6EA4" w:rsidRDefault="00BF6EA4" w:rsidP="00344C12">
            <w:pPr>
              <w:jc w:val="right"/>
              <w:rPr>
                <w:sz w:val="20"/>
                <w:szCs w:val="20"/>
              </w:rPr>
            </w:pPr>
            <w:r w:rsidRPr="00BF6EA4">
              <w:rPr>
                <w:sz w:val="20"/>
                <w:szCs w:val="20"/>
              </w:rPr>
              <w:lastRenderedPageBreak/>
              <w:t>80</w:t>
            </w:r>
            <w:r w:rsidRPr="00BF6EA4">
              <w:rPr>
                <w:sz w:val="20"/>
                <w:szCs w:val="20"/>
              </w:rPr>
              <w:br/>
            </w:r>
            <w:r w:rsidRPr="00BF6EA4">
              <w:rPr>
                <w:sz w:val="20"/>
                <w:szCs w:val="20"/>
              </w:rPr>
              <w:lastRenderedPageBreak/>
              <w:t>80</w:t>
            </w:r>
          </w:p>
        </w:tc>
      </w:tr>
      <w:tr w:rsidR="00BF6EA4" w:rsidRPr="00BF6EA4" w:rsidTr="00344C12">
        <w:tc>
          <w:tcPr>
            <w:tcW w:w="0" w:type="auto"/>
          </w:tcPr>
          <w:p w:rsidR="00BF6EA4" w:rsidRPr="00BF6EA4" w:rsidRDefault="00BF6EA4" w:rsidP="00344C12">
            <w:pPr>
              <w:rPr>
                <w:sz w:val="20"/>
                <w:szCs w:val="20"/>
              </w:rPr>
            </w:pPr>
          </w:p>
        </w:tc>
        <w:tc>
          <w:tcPr>
            <w:tcW w:w="0" w:type="auto"/>
          </w:tcPr>
          <w:p w:rsidR="00BF6EA4" w:rsidRPr="00BF6EA4" w:rsidRDefault="00BF6EA4" w:rsidP="00344C12">
            <w:pPr>
              <w:rPr>
                <w:sz w:val="20"/>
                <w:szCs w:val="20"/>
              </w:rPr>
            </w:pPr>
            <w:r w:rsidRPr="00BF6EA4">
              <w:rPr>
                <w:sz w:val="20"/>
                <w:szCs w:val="20"/>
              </w:rPr>
              <w:t>HP≥500</w:t>
            </w:r>
          </w:p>
        </w:tc>
        <w:tc>
          <w:tcPr>
            <w:tcW w:w="0" w:type="auto"/>
          </w:tcPr>
          <w:p w:rsidR="00BF6EA4" w:rsidRPr="00BF6EA4" w:rsidRDefault="00BF6EA4" w:rsidP="00344C12">
            <w:pPr>
              <w:jc w:val="right"/>
              <w:rPr>
                <w:sz w:val="20"/>
                <w:szCs w:val="20"/>
              </w:rPr>
            </w:pPr>
            <w:r w:rsidRPr="00BF6EA4">
              <w:rPr>
                <w:sz w:val="20"/>
                <w:szCs w:val="20"/>
              </w:rPr>
              <w:t>7/1/2007</w:t>
            </w:r>
            <w:r w:rsidRPr="00BF6EA4">
              <w:rPr>
                <w:sz w:val="20"/>
                <w:szCs w:val="20"/>
              </w:rPr>
              <w:br/>
              <w:t>7/1/2010</w:t>
            </w:r>
          </w:p>
        </w:tc>
        <w:tc>
          <w:tcPr>
            <w:tcW w:w="0" w:type="auto"/>
          </w:tcPr>
          <w:p w:rsidR="00BF6EA4" w:rsidRPr="00BF6EA4" w:rsidRDefault="00BF6EA4" w:rsidP="00344C12">
            <w:pPr>
              <w:jc w:val="right"/>
              <w:rPr>
                <w:sz w:val="20"/>
                <w:szCs w:val="20"/>
              </w:rPr>
            </w:pPr>
            <w:r w:rsidRPr="00BF6EA4">
              <w:rPr>
                <w:sz w:val="20"/>
                <w:szCs w:val="20"/>
              </w:rPr>
              <w:t>3.0</w:t>
            </w:r>
            <w:r w:rsidRPr="00BF6EA4">
              <w:rPr>
                <w:sz w:val="20"/>
                <w:szCs w:val="20"/>
              </w:rPr>
              <w:br/>
              <w:t>2.0</w:t>
            </w:r>
          </w:p>
        </w:tc>
        <w:tc>
          <w:tcPr>
            <w:tcW w:w="0" w:type="auto"/>
          </w:tcPr>
          <w:p w:rsidR="00BF6EA4" w:rsidRPr="00BF6EA4" w:rsidRDefault="00BF6EA4" w:rsidP="00344C12">
            <w:pPr>
              <w:jc w:val="right"/>
              <w:rPr>
                <w:sz w:val="20"/>
                <w:szCs w:val="20"/>
              </w:rPr>
            </w:pPr>
            <w:r w:rsidRPr="00BF6EA4">
              <w:rPr>
                <w:sz w:val="20"/>
                <w:szCs w:val="20"/>
              </w:rPr>
              <w:t>5.0</w:t>
            </w:r>
            <w:r w:rsidRPr="00BF6EA4">
              <w:rPr>
                <w:sz w:val="20"/>
                <w:szCs w:val="20"/>
              </w:rPr>
              <w:br/>
              <w:t>5.0</w:t>
            </w:r>
          </w:p>
        </w:tc>
        <w:tc>
          <w:tcPr>
            <w:tcW w:w="0" w:type="auto"/>
          </w:tcPr>
          <w:p w:rsidR="00BF6EA4" w:rsidRPr="00BF6EA4" w:rsidRDefault="00BF6EA4" w:rsidP="00344C12">
            <w:pPr>
              <w:jc w:val="right"/>
              <w:rPr>
                <w:sz w:val="20"/>
                <w:szCs w:val="20"/>
              </w:rPr>
            </w:pPr>
            <w:r w:rsidRPr="00BF6EA4">
              <w:rPr>
                <w:sz w:val="20"/>
                <w:szCs w:val="20"/>
              </w:rPr>
              <w:t>1.0</w:t>
            </w:r>
            <w:r w:rsidRPr="00BF6EA4">
              <w:rPr>
                <w:sz w:val="20"/>
                <w:szCs w:val="20"/>
              </w:rPr>
              <w:br/>
              <w:t>1.0</w:t>
            </w:r>
          </w:p>
        </w:tc>
        <w:tc>
          <w:tcPr>
            <w:tcW w:w="0" w:type="auto"/>
          </w:tcPr>
          <w:p w:rsidR="00BF6EA4" w:rsidRPr="00BF6EA4" w:rsidRDefault="00BF6EA4" w:rsidP="00344C12">
            <w:pPr>
              <w:jc w:val="right"/>
              <w:rPr>
                <w:sz w:val="20"/>
                <w:szCs w:val="20"/>
              </w:rPr>
            </w:pPr>
            <w:r w:rsidRPr="00BF6EA4">
              <w:rPr>
                <w:sz w:val="20"/>
                <w:szCs w:val="20"/>
              </w:rPr>
              <w:t>220</w:t>
            </w:r>
            <w:r w:rsidRPr="00BF6EA4">
              <w:rPr>
                <w:sz w:val="20"/>
                <w:szCs w:val="20"/>
              </w:rPr>
              <w:br/>
              <w:t>150</w:t>
            </w:r>
          </w:p>
        </w:tc>
        <w:tc>
          <w:tcPr>
            <w:tcW w:w="0" w:type="auto"/>
          </w:tcPr>
          <w:p w:rsidR="00BF6EA4" w:rsidRPr="00BF6EA4" w:rsidRDefault="00BF6EA4" w:rsidP="00344C12">
            <w:pPr>
              <w:jc w:val="right"/>
              <w:rPr>
                <w:sz w:val="20"/>
                <w:szCs w:val="20"/>
              </w:rPr>
            </w:pPr>
            <w:r w:rsidRPr="00BF6EA4">
              <w:rPr>
                <w:sz w:val="20"/>
                <w:szCs w:val="20"/>
              </w:rPr>
              <w:t>610</w:t>
            </w:r>
            <w:r w:rsidRPr="00BF6EA4">
              <w:rPr>
                <w:sz w:val="20"/>
                <w:szCs w:val="20"/>
              </w:rPr>
              <w:br/>
              <w:t>610</w:t>
            </w:r>
          </w:p>
        </w:tc>
        <w:tc>
          <w:tcPr>
            <w:tcW w:w="0" w:type="auto"/>
          </w:tcPr>
          <w:p w:rsidR="00BF6EA4" w:rsidRPr="00BF6EA4" w:rsidRDefault="00BF6EA4" w:rsidP="00344C12">
            <w:pPr>
              <w:jc w:val="right"/>
              <w:rPr>
                <w:sz w:val="20"/>
                <w:szCs w:val="20"/>
              </w:rPr>
            </w:pPr>
            <w:r w:rsidRPr="00BF6EA4">
              <w:rPr>
                <w:sz w:val="20"/>
                <w:szCs w:val="20"/>
              </w:rPr>
              <w:t>80</w:t>
            </w:r>
            <w:r w:rsidRPr="00BF6EA4">
              <w:rPr>
                <w:sz w:val="20"/>
                <w:szCs w:val="20"/>
              </w:rPr>
              <w:br/>
              <w:t>80</w:t>
            </w:r>
          </w:p>
        </w:tc>
      </w:tr>
      <w:tr w:rsidR="00BF6EA4" w:rsidRPr="00BF6EA4" w:rsidTr="00344C12">
        <w:tc>
          <w:tcPr>
            <w:tcW w:w="0" w:type="auto"/>
          </w:tcPr>
          <w:p w:rsidR="00BF6EA4" w:rsidRPr="00BF6EA4" w:rsidRDefault="00BF6EA4" w:rsidP="00344C12">
            <w:pPr>
              <w:rPr>
                <w:sz w:val="20"/>
                <w:szCs w:val="20"/>
              </w:rPr>
            </w:pPr>
            <w:r w:rsidRPr="00BF6EA4">
              <w:rPr>
                <w:sz w:val="20"/>
                <w:szCs w:val="20"/>
              </w:rPr>
              <w:t>Landfill/Digester Gas Lean Burn</w:t>
            </w:r>
          </w:p>
        </w:tc>
        <w:tc>
          <w:tcPr>
            <w:tcW w:w="0" w:type="auto"/>
          </w:tcPr>
          <w:p w:rsidR="00BF6EA4" w:rsidRPr="00BF6EA4" w:rsidRDefault="00BF6EA4" w:rsidP="00344C12">
            <w:pPr>
              <w:rPr>
                <w:sz w:val="20"/>
                <w:szCs w:val="20"/>
              </w:rPr>
            </w:pPr>
            <w:r w:rsidRPr="00BF6EA4">
              <w:rPr>
                <w:sz w:val="20"/>
                <w:szCs w:val="20"/>
              </w:rPr>
              <w:t>500</w:t>
            </w:r>
            <w:r w:rsidR="00653B51" w:rsidRPr="00BF6EA4">
              <w:rPr>
                <w:sz w:val="20"/>
                <w:szCs w:val="20"/>
              </w:rPr>
              <w:t>≤</w:t>
            </w:r>
            <w:r w:rsidRPr="00BF6EA4">
              <w:rPr>
                <w:sz w:val="20"/>
                <w:szCs w:val="20"/>
              </w:rPr>
              <w:t>HP&lt;1,350</w:t>
            </w:r>
          </w:p>
        </w:tc>
        <w:tc>
          <w:tcPr>
            <w:tcW w:w="0" w:type="auto"/>
          </w:tcPr>
          <w:p w:rsidR="00BF6EA4" w:rsidRPr="00BF6EA4" w:rsidRDefault="00BF6EA4" w:rsidP="00344C12">
            <w:pPr>
              <w:jc w:val="right"/>
              <w:rPr>
                <w:sz w:val="20"/>
                <w:szCs w:val="20"/>
              </w:rPr>
            </w:pPr>
            <w:r w:rsidRPr="00BF6EA4">
              <w:rPr>
                <w:sz w:val="20"/>
                <w:szCs w:val="20"/>
              </w:rPr>
              <w:t>1/1/2008</w:t>
            </w:r>
            <w:r w:rsidRPr="00BF6EA4">
              <w:rPr>
                <w:sz w:val="20"/>
                <w:szCs w:val="20"/>
              </w:rPr>
              <w:br/>
              <w:t>7/1/2010</w:t>
            </w:r>
          </w:p>
        </w:tc>
        <w:tc>
          <w:tcPr>
            <w:tcW w:w="0" w:type="auto"/>
          </w:tcPr>
          <w:p w:rsidR="00BF6EA4" w:rsidRPr="00BF6EA4" w:rsidRDefault="00BF6EA4" w:rsidP="00344C12">
            <w:pPr>
              <w:jc w:val="right"/>
              <w:rPr>
                <w:sz w:val="20"/>
                <w:szCs w:val="20"/>
              </w:rPr>
            </w:pPr>
            <w:r w:rsidRPr="00BF6EA4">
              <w:rPr>
                <w:sz w:val="20"/>
                <w:szCs w:val="20"/>
              </w:rPr>
              <w:t>3.0</w:t>
            </w:r>
            <w:r w:rsidRPr="00BF6EA4">
              <w:rPr>
                <w:sz w:val="20"/>
                <w:szCs w:val="20"/>
              </w:rPr>
              <w:br/>
              <w:t>2.0</w:t>
            </w:r>
          </w:p>
        </w:tc>
        <w:tc>
          <w:tcPr>
            <w:tcW w:w="0" w:type="auto"/>
          </w:tcPr>
          <w:p w:rsidR="00BF6EA4" w:rsidRPr="00BF6EA4" w:rsidRDefault="00BF6EA4" w:rsidP="00344C12">
            <w:pPr>
              <w:jc w:val="right"/>
              <w:rPr>
                <w:sz w:val="20"/>
                <w:szCs w:val="20"/>
              </w:rPr>
            </w:pPr>
            <w:r w:rsidRPr="00BF6EA4">
              <w:rPr>
                <w:sz w:val="20"/>
                <w:szCs w:val="20"/>
              </w:rPr>
              <w:t>5.0</w:t>
            </w:r>
            <w:r w:rsidRPr="00BF6EA4">
              <w:rPr>
                <w:sz w:val="20"/>
                <w:szCs w:val="20"/>
              </w:rPr>
              <w:br/>
              <w:t>5.0</w:t>
            </w:r>
          </w:p>
        </w:tc>
        <w:tc>
          <w:tcPr>
            <w:tcW w:w="0" w:type="auto"/>
          </w:tcPr>
          <w:p w:rsidR="00BF6EA4" w:rsidRPr="00BF6EA4" w:rsidRDefault="00BF6EA4" w:rsidP="00344C12">
            <w:pPr>
              <w:jc w:val="right"/>
              <w:rPr>
                <w:sz w:val="20"/>
                <w:szCs w:val="20"/>
              </w:rPr>
            </w:pPr>
            <w:r w:rsidRPr="00BF6EA4">
              <w:rPr>
                <w:sz w:val="20"/>
                <w:szCs w:val="20"/>
              </w:rPr>
              <w:t>1.0</w:t>
            </w:r>
            <w:r w:rsidRPr="00BF6EA4">
              <w:rPr>
                <w:sz w:val="20"/>
                <w:szCs w:val="20"/>
              </w:rPr>
              <w:br/>
              <w:t>1.0</w:t>
            </w:r>
          </w:p>
        </w:tc>
        <w:tc>
          <w:tcPr>
            <w:tcW w:w="0" w:type="auto"/>
          </w:tcPr>
          <w:p w:rsidR="00BF6EA4" w:rsidRPr="00BF6EA4" w:rsidRDefault="00BF6EA4" w:rsidP="00344C12">
            <w:pPr>
              <w:jc w:val="right"/>
              <w:rPr>
                <w:sz w:val="20"/>
                <w:szCs w:val="20"/>
              </w:rPr>
            </w:pPr>
            <w:r w:rsidRPr="00BF6EA4">
              <w:rPr>
                <w:sz w:val="20"/>
                <w:szCs w:val="20"/>
              </w:rPr>
              <w:t>220</w:t>
            </w:r>
            <w:r w:rsidRPr="00BF6EA4">
              <w:rPr>
                <w:sz w:val="20"/>
                <w:szCs w:val="20"/>
              </w:rPr>
              <w:br/>
              <w:t>150</w:t>
            </w:r>
          </w:p>
        </w:tc>
        <w:tc>
          <w:tcPr>
            <w:tcW w:w="0" w:type="auto"/>
          </w:tcPr>
          <w:p w:rsidR="00BF6EA4" w:rsidRPr="00BF6EA4" w:rsidRDefault="00BF6EA4" w:rsidP="00344C12">
            <w:pPr>
              <w:jc w:val="right"/>
              <w:rPr>
                <w:sz w:val="20"/>
                <w:szCs w:val="20"/>
              </w:rPr>
            </w:pPr>
            <w:r w:rsidRPr="00BF6EA4">
              <w:rPr>
                <w:sz w:val="20"/>
                <w:szCs w:val="20"/>
              </w:rPr>
              <w:t>610</w:t>
            </w:r>
            <w:r w:rsidRPr="00BF6EA4">
              <w:rPr>
                <w:sz w:val="20"/>
                <w:szCs w:val="20"/>
              </w:rPr>
              <w:br/>
              <w:t>610</w:t>
            </w:r>
          </w:p>
        </w:tc>
        <w:tc>
          <w:tcPr>
            <w:tcW w:w="0" w:type="auto"/>
          </w:tcPr>
          <w:p w:rsidR="00BF6EA4" w:rsidRPr="00BF6EA4" w:rsidRDefault="00BF6EA4" w:rsidP="00344C12">
            <w:pPr>
              <w:jc w:val="right"/>
              <w:rPr>
                <w:sz w:val="20"/>
                <w:szCs w:val="20"/>
              </w:rPr>
            </w:pPr>
            <w:r w:rsidRPr="00BF6EA4">
              <w:rPr>
                <w:sz w:val="20"/>
                <w:szCs w:val="20"/>
              </w:rPr>
              <w:t>80</w:t>
            </w:r>
            <w:r w:rsidRPr="00BF6EA4">
              <w:rPr>
                <w:sz w:val="20"/>
                <w:szCs w:val="20"/>
              </w:rPr>
              <w:br/>
              <w:t>80</w:t>
            </w:r>
          </w:p>
        </w:tc>
      </w:tr>
      <w:tr w:rsidR="00BF6EA4" w:rsidRPr="00BF6EA4" w:rsidTr="00344C12">
        <w:tc>
          <w:tcPr>
            <w:tcW w:w="0" w:type="auto"/>
          </w:tcPr>
          <w:p w:rsidR="00BF6EA4" w:rsidRPr="00BF6EA4" w:rsidRDefault="00BF6EA4" w:rsidP="00344C12">
            <w:pPr>
              <w:rPr>
                <w:sz w:val="20"/>
                <w:szCs w:val="20"/>
              </w:rPr>
            </w:pPr>
          </w:p>
        </w:tc>
        <w:tc>
          <w:tcPr>
            <w:tcW w:w="0" w:type="auto"/>
          </w:tcPr>
          <w:p w:rsidR="00BF6EA4" w:rsidRPr="00BF6EA4" w:rsidRDefault="00BF6EA4" w:rsidP="00344C12">
            <w:pPr>
              <w:rPr>
                <w:sz w:val="20"/>
                <w:szCs w:val="20"/>
              </w:rPr>
            </w:pPr>
          </w:p>
        </w:tc>
        <w:tc>
          <w:tcPr>
            <w:tcW w:w="0" w:type="auto"/>
          </w:tcPr>
          <w:p w:rsidR="00BF6EA4" w:rsidRPr="00BF6EA4" w:rsidRDefault="00BF6EA4" w:rsidP="00344C12">
            <w:pPr>
              <w:jc w:val="right"/>
              <w:rPr>
                <w:sz w:val="20"/>
                <w:szCs w:val="20"/>
              </w:rPr>
            </w:pPr>
          </w:p>
        </w:tc>
        <w:tc>
          <w:tcPr>
            <w:tcW w:w="0" w:type="auto"/>
          </w:tcPr>
          <w:p w:rsidR="00BF6EA4" w:rsidRPr="00BF6EA4" w:rsidRDefault="00BF6EA4" w:rsidP="00344C12">
            <w:pPr>
              <w:jc w:val="right"/>
              <w:rPr>
                <w:sz w:val="20"/>
                <w:szCs w:val="20"/>
              </w:rPr>
            </w:pPr>
          </w:p>
        </w:tc>
        <w:tc>
          <w:tcPr>
            <w:tcW w:w="0" w:type="auto"/>
          </w:tcPr>
          <w:p w:rsidR="00BF6EA4" w:rsidRPr="00BF6EA4" w:rsidRDefault="00BF6EA4" w:rsidP="00344C12">
            <w:pPr>
              <w:jc w:val="right"/>
              <w:rPr>
                <w:sz w:val="20"/>
                <w:szCs w:val="20"/>
              </w:rPr>
            </w:pPr>
          </w:p>
        </w:tc>
        <w:tc>
          <w:tcPr>
            <w:tcW w:w="0" w:type="auto"/>
          </w:tcPr>
          <w:p w:rsidR="00BF6EA4" w:rsidRPr="00BF6EA4" w:rsidRDefault="00BF6EA4" w:rsidP="00344C12">
            <w:pPr>
              <w:jc w:val="right"/>
              <w:rPr>
                <w:sz w:val="20"/>
                <w:szCs w:val="20"/>
              </w:rPr>
            </w:pPr>
          </w:p>
        </w:tc>
        <w:tc>
          <w:tcPr>
            <w:tcW w:w="0" w:type="auto"/>
          </w:tcPr>
          <w:p w:rsidR="00BF6EA4" w:rsidRPr="00BF6EA4" w:rsidRDefault="00BF6EA4" w:rsidP="00344C12">
            <w:pPr>
              <w:jc w:val="right"/>
              <w:rPr>
                <w:sz w:val="20"/>
                <w:szCs w:val="20"/>
              </w:rPr>
            </w:pPr>
          </w:p>
        </w:tc>
        <w:tc>
          <w:tcPr>
            <w:tcW w:w="0" w:type="auto"/>
          </w:tcPr>
          <w:p w:rsidR="00BF6EA4" w:rsidRPr="00BF6EA4" w:rsidRDefault="00BF6EA4" w:rsidP="00344C12">
            <w:pPr>
              <w:jc w:val="right"/>
              <w:rPr>
                <w:sz w:val="20"/>
                <w:szCs w:val="20"/>
              </w:rPr>
            </w:pPr>
          </w:p>
        </w:tc>
        <w:tc>
          <w:tcPr>
            <w:tcW w:w="0" w:type="auto"/>
          </w:tcPr>
          <w:p w:rsidR="00BF6EA4" w:rsidRPr="00BF6EA4" w:rsidRDefault="00BF6EA4" w:rsidP="00344C12">
            <w:pPr>
              <w:jc w:val="right"/>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Emergency</w:t>
            </w:r>
          </w:p>
        </w:tc>
        <w:tc>
          <w:tcPr>
            <w:tcW w:w="0" w:type="auto"/>
          </w:tcPr>
          <w:p w:rsidR="00BF6EA4" w:rsidRPr="00BF6EA4" w:rsidRDefault="00BF6EA4" w:rsidP="00344C12">
            <w:pPr>
              <w:rPr>
                <w:sz w:val="20"/>
                <w:szCs w:val="20"/>
              </w:rPr>
            </w:pPr>
            <w:r w:rsidRPr="00BF6EA4">
              <w:rPr>
                <w:sz w:val="20"/>
                <w:szCs w:val="20"/>
              </w:rPr>
              <w:t>25</w:t>
            </w:r>
            <w:r w:rsidR="00653B51" w:rsidRPr="00BF6EA4">
              <w:rPr>
                <w:sz w:val="20"/>
                <w:szCs w:val="20"/>
              </w:rPr>
              <w:t>≤</w:t>
            </w:r>
            <w:r w:rsidRPr="00BF6EA4">
              <w:rPr>
                <w:sz w:val="20"/>
                <w:szCs w:val="20"/>
              </w:rPr>
              <w:t>HP&lt;130</w:t>
            </w:r>
          </w:p>
        </w:tc>
        <w:tc>
          <w:tcPr>
            <w:tcW w:w="0" w:type="auto"/>
          </w:tcPr>
          <w:p w:rsidR="00BF6EA4" w:rsidRPr="00BF6EA4" w:rsidRDefault="00BF6EA4" w:rsidP="00344C12">
            <w:pPr>
              <w:jc w:val="right"/>
              <w:rPr>
                <w:sz w:val="20"/>
                <w:szCs w:val="20"/>
              </w:rPr>
            </w:pPr>
            <w:r w:rsidRPr="00BF6EA4">
              <w:rPr>
                <w:sz w:val="20"/>
                <w:szCs w:val="20"/>
              </w:rPr>
              <w:t>1/1/2009</w:t>
            </w:r>
          </w:p>
        </w:tc>
        <w:tc>
          <w:tcPr>
            <w:tcW w:w="0" w:type="auto"/>
          </w:tcPr>
          <w:p w:rsidR="00BF6EA4" w:rsidRPr="00BF6EA4" w:rsidRDefault="00BF6EA4" w:rsidP="00344C12">
            <w:pPr>
              <w:jc w:val="right"/>
              <w:rPr>
                <w:sz w:val="20"/>
                <w:szCs w:val="20"/>
              </w:rPr>
            </w:pPr>
            <w:r w:rsidRPr="00BF6EA4">
              <w:rPr>
                <w:sz w:val="20"/>
                <w:szCs w:val="20"/>
                <w:vertAlign w:val="superscript"/>
              </w:rPr>
              <w:t>c</w:t>
            </w:r>
            <w:r w:rsidRPr="00BF6EA4">
              <w:rPr>
                <w:sz w:val="20"/>
                <w:szCs w:val="20"/>
              </w:rPr>
              <w:t>10</w:t>
            </w:r>
            <w:r w:rsidRPr="00BF6EA4">
              <w:rPr>
                <w:sz w:val="20"/>
                <w:szCs w:val="20"/>
              </w:rPr>
              <w:br/>
            </w:r>
          </w:p>
        </w:tc>
        <w:tc>
          <w:tcPr>
            <w:tcW w:w="0" w:type="auto"/>
          </w:tcPr>
          <w:p w:rsidR="00BF6EA4" w:rsidRPr="00BF6EA4" w:rsidRDefault="00BF6EA4" w:rsidP="00344C12">
            <w:pPr>
              <w:jc w:val="right"/>
              <w:rPr>
                <w:sz w:val="20"/>
                <w:szCs w:val="20"/>
              </w:rPr>
            </w:pPr>
            <w:r w:rsidRPr="00BF6EA4">
              <w:rPr>
                <w:sz w:val="20"/>
                <w:szCs w:val="20"/>
              </w:rPr>
              <w:t>387</w:t>
            </w:r>
            <w:r w:rsidRPr="00BF6EA4">
              <w:rPr>
                <w:sz w:val="20"/>
                <w:szCs w:val="20"/>
              </w:rPr>
              <w:br/>
            </w:r>
          </w:p>
        </w:tc>
        <w:tc>
          <w:tcPr>
            <w:tcW w:w="0" w:type="auto"/>
          </w:tcPr>
          <w:p w:rsidR="00BF6EA4" w:rsidRPr="00BF6EA4" w:rsidRDefault="00BF6EA4" w:rsidP="00344C12">
            <w:pPr>
              <w:jc w:val="right"/>
              <w:rPr>
                <w:sz w:val="20"/>
                <w:szCs w:val="20"/>
              </w:rPr>
            </w:pPr>
            <w:r w:rsidRPr="00BF6EA4">
              <w:rPr>
                <w:sz w:val="20"/>
                <w:szCs w:val="20"/>
              </w:rPr>
              <w:t>N/A</w:t>
            </w:r>
            <w:r w:rsidRPr="00BF6EA4">
              <w:rPr>
                <w:sz w:val="20"/>
                <w:szCs w:val="20"/>
              </w:rPr>
              <w:br/>
            </w:r>
          </w:p>
        </w:tc>
        <w:tc>
          <w:tcPr>
            <w:tcW w:w="0" w:type="auto"/>
          </w:tcPr>
          <w:p w:rsidR="00BF6EA4" w:rsidRPr="00BF6EA4" w:rsidRDefault="00BF6EA4" w:rsidP="00344C12">
            <w:pPr>
              <w:jc w:val="right"/>
              <w:rPr>
                <w:sz w:val="20"/>
                <w:szCs w:val="20"/>
              </w:rPr>
            </w:pPr>
            <w:r w:rsidRPr="00BF6EA4">
              <w:rPr>
                <w:sz w:val="20"/>
                <w:szCs w:val="20"/>
              </w:rPr>
              <w:t>N/A</w:t>
            </w:r>
            <w:r w:rsidRPr="00BF6EA4">
              <w:rPr>
                <w:sz w:val="20"/>
                <w:szCs w:val="20"/>
              </w:rPr>
              <w:br/>
            </w:r>
          </w:p>
        </w:tc>
        <w:tc>
          <w:tcPr>
            <w:tcW w:w="0" w:type="auto"/>
          </w:tcPr>
          <w:p w:rsidR="00BF6EA4" w:rsidRPr="00BF6EA4" w:rsidRDefault="00BF6EA4" w:rsidP="00344C12">
            <w:pPr>
              <w:jc w:val="right"/>
              <w:rPr>
                <w:sz w:val="20"/>
                <w:szCs w:val="20"/>
              </w:rPr>
            </w:pPr>
            <w:r w:rsidRPr="00BF6EA4">
              <w:rPr>
                <w:sz w:val="20"/>
                <w:szCs w:val="20"/>
              </w:rPr>
              <w:t>N/A</w:t>
            </w:r>
            <w:r w:rsidRPr="00BF6EA4">
              <w:rPr>
                <w:sz w:val="20"/>
                <w:szCs w:val="20"/>
              </w:rPr>
              <w:br/>
            </w:r>
          </w:p>
        </w:tc>
        <w:tc>
          <w:tcPr>
            <w:tcW w:w="0" w:type="auto"/>
          </w:tcPr>
          <w:p w:rsidR="00BF6EA4" w:rsidRPr="00BF6EA4" w:rsidRDefault="00BF6EA4" w:rsidP="00344C12">
            <w:pPr>
              <w:jc w:val="right"/>
              <w:rPr>
                <w:sz w:val="20"/>
                <w:szCs w:val="20"/>
              </w:rPr>
            </w:pPr>
            <w:r w:rsidRPr="00BF6EA4">
              <w:rPr>
                <w:sz w:val="20"/>
                <w:szCs w:val="20"/>
              </w:rPr>
              <w:t>N/A</w:t>
            </w:r>
            <w:r w:rsidRPr="00BF6EA4">
              <w:rPr>
                <w:sz w:val="20"/>
                <w:szCs w:val="20"/>
              </w:rPr>
              <w:br/>
            </w:r>
          </w:p>
        </w:tc>
      </w:tr>
      <w:tr w:rsidR="00BF6EA4" w:rsidRPr="00BF6EA4" w:rsidTr="00344C12">
        <w:tc>
          <w:tcPr>
            <w:tcW w:w="0" w:type="auto"/>
          </w:tcPr>
          <w:p w:rsidR="00BF6EA4" w:rsidRPr="00BF6EA4" w:rsidRDefault="00BF6EA4" w:rsidP="00344C12">
            <w:pPr>
              <w:rPr>
                <w:sz w:val="20"/>
                <w:szCs w:val="20"/>
              </w:rPr>
            </w:pPr>
          </w:p>
        </w:tc>
        <w:tc>
          <w:tcPr>
            <w:tcW w:w="0" w:type="auto"/>
          </w:tcPr>
          <w:p w:rsidR="00BF6EA4" w:rsidRPr="00BF6EA4" w:rsidRDefault="00BF6EA4" w:rsidP="00344C12">
            <w:pPr>
              <w:rPr>
                <w:sz w:val="20"/>
                <w:szCs w:val="20"/>
              </w:rPr>
            </w:pPr>
            <w:r w:rsidRPr="00BF6EA4">
              <w:rPr>
                <w:sz w:val="20"/>
                <w:szCs w:val="20"/>
              </w:rPr>
              <w:t>HP≥130</w:t>
            </w:r>
          </w:p>
        </w:tc>
        <w:tc>
          <w:tcPr>
            <w:tcW w:w="0" w:type="auto"/>
          </w:tcPr>
          <w:p w:rsidR="00BF6EA4" w:rsidRPr="00BF6EA4" w:rsidRDefault="00BF6EA4" w:rsidP="00344C12">
            <w:pPr>
              <w:jc w:val="right"/>
              <w:rPr>
                <w:sz w:val="20"/>
                <w:szCs w:val="20"/>
              </w:rPr>
            </w:pPr>
          </w:p>
        </w:tc>
        <w:tc>
          <w:tcPr>
            <w:tcW w:w="0" w:type="auto"/>
          </w:tcPr>
          <w:p w:rsidR="00BF6EA4" w:rsidRPr="00BF6EA4" w:rsidRDefault="00BF6EA4" w:rsidP="00344C12">
            <w:pPr>
              <w:jc w:val="right"/>
              <w:rPr>
                <w:sz w:val="20"/>
                <w:szCs w:val="20"/>
              </w:rPr>
            </w:pPr>
            <w:r w:rsidRPr="00BF6EA4">
              <w:rPr>
                <w:sz w:val="20"/>
                <w:szCs w:val="20"/>
              </w:rPr>
              <w:t>2.0</w:t>
            </w:r>
          </w:p>
        </w:tc>
        <w:tc>
          <w:tcPr>
            <w:tcW w:w="0" w:type="auto"/>
          </w:tcPr>
          <w:p w:rsidR="00BF6EA4" w:rsidRPr="00BF6EA4" w:rsidRDefault="00BF6EA4" w:rsidP="00344C12">
            <w:pPr>
              <w:jc w:val="right"/>
              <w:rPr>
                <w:sz w:val="20"/>
                <w:szCs w:val="20"/>
              </w:rPr>
            </w:pPr>
            <w:r w:rsidRPr="00BF6EA4">
              <w:rPr>
                <w:sz w:val="20"/>
                <w:szCs w:val="20"/>
              </w:rPr>
              <w:t>4.0</w:t>
            </w:r>
          </w:p>
        </w:tc>
        <w:tc>
          <w:tcPr>
            <w:tcW w:w="0" w:type="auto"/>
          </w:tcPr>
          <w:p w:rsidR="00BF6EA4" w:rsidRPr="00BF6EA4" w:rsidRDefault="00BF6EA4" w:rsidP="00344C12">
            <w:pPr>
              <w:jc w:val="right"/>
              <w:rPr>
                <w:sz w:val="20"/>
                <w:szCs w:val="20"/>
              </w:rPr>
            </w:pPr>
            <w:r w:rsidRPr="00BF6EA4">
              <w:rPr>
                <w:sz w:val="20"/>
                <w:szCs w:val="20"/>
              </w:rPr>
              <w:t>1.0</w:t>
            </w:r>
          </w:p>
        </w:tc>
        <w:tc>
          <w:tcPr>
            <w:tcW w:w="0" w:type="auto"/>
          </w:tcPr>
          <w:p w:rsidR="00BF6EA4" w:rsidRPr="00BF6EA4" w:rsidRDefault="00BF6EA4" w:rsidP="00344C12">
            <w:pPr>
              <w:jc w:val="right"/>
              <w:rPr>
                <w:sz w:val="20"/>
                <w:szCs w:val="20"/>
              </w:rPr>
            </w:pPr>
            <w:r w:rsidRPr="00BF6EA4">
              <w:rPr>
                <w:sz w:val="20"/>
                <w:szCs w:val="20"/>
              </w:rPr>
              <w:t>160</w:t>
            </w:r>
          </w:p>
        </w:tc>
        <w:tc>
          <w:tcPr>
            <w:tcW w:w="0" w:type="auto"/>
          </w:tcPr>
          <w:p w:rsidR="00BF6EA4" w:rsidRPr="00BF6EA4" w:rsidRDefault="00BF6EA4" w:rsidP="00344C12">
            <w:pPr>
              <w:jc w:val="right"/>
              <w:rPr>
                <w:sz w:val="20"/>
                <w:szCs w:val="20"/>
              </w:rPr>
            </w:pPr>
            <w:r w:rsidRPr="00BF6EA4">
              <w:rPr>
                <w:sz w:val="20"/>
                <w:szCs w:val="20"/>
              </w:rPr>
              <w:t>540</w:t>
            </w:r>
          </w:p>
        </w:tc>
        <w:tc>
          <w:tcPr>
            <w:tcW w:w="0" w:type="auto"/>
          </w:tcPr>
          <w:p w:rsidR="00BF6EA4" w:rsidRPr="00BF6EA4" w:rsidRDefault="00BF6EA4" w:rsidP="00344C12">
            <w:pPr>
              <w:jc w:val="right"/>
              <w:rPr>
                <w:sz w:val="20"/>
                <w:szCs w:val="20"/>
              </w:rPr>
            </w:pPr>
            <w:r w:rsidRPr="00BF6EA4">
              <w:rPr>
                <w:sz w:val="20"/>
                <w:szCs w:val="20"/>
              </w:rPr>
              <w:t>86</w:t>
            </w:r>
          </w:p>
        </w:tc>
      </w:tr>
    </w:tbl>
    <w:p w:rsidR="00BF6EA4" w:rsidRPr="00BF6EA4" w:rsidRDefault="00BF6EA4" w:rsidP="00BF6EA4">
      <w:pPr>
        <w:pStyle w:val="tablenote"/>
        <w:spacing w:before="0" w:beforeAutospacing="0" w:after="120" w:afterAutospacing="0"/>
        <w:rPr>
          <w:sz w:val="20"/>
          <w:szCs w:val="20"/>
        </w:rPr>
      </w:pPr>
      <w:proofErr w:type="spellStart"/>
      <w:r w:rsidRPr="00BF6EA4">
        <w:rPr>
          <w:sz w:val="20"/>
          <w:szCs w:val="20"/>
          <w:vertAlign w:val="superscript"/>
        </w:rPr>
        <w:t>a</w:t>
      </w:r>
      <w:r w:rsidRPr="00BF6EA4">
        <w:rPr>
          <w:sz w:val="20"/>
          <w:szCs w:val="20"/>
        </w:rPr>
        <w:t>Owners</w:t>
      </w:r>
      <w:proofErr w:type="spellEnd"/>
      <w:r w:rsidRPr="00BF6EA4">
        <w:rPr>
          <w:sz w:val="20"/>
          <w:szCs w:val="20"/>
        </w:rPr>
        <w:t xml:space="preserve"> and operators of stationary non-certified SI engines may choose to comply with the emission standards in units of either g/HP-hr or ppmvd at 15 percent O2.</w:t>
      </w:r>
    </w:p>
    <w:p w:rsidR="00BF6EA4" w:rsidRPr="00BF6EA4" w:rsidRDefault="00BF6EA4" w:rsidP="00BF6EA4">
      <w:pPr>
        <w:pStyle w:val="tablenote"/>
        <w:spacing w:before="0" w:beforeAutospacing="0" w:after="120" w:afterAutospacing="0"/>
        <w:rPr>
          <w:sz w:val="20"/>
          <w:szCs w:val="20"/>
        </w:rPr>
      </w:pPr>
      <w:proofErr w:type="spellStart"/>
      <w:r w:rsidRPr="00BF6EA4">
        <w:rPr>
          <w:sz w:val="20"/>
          <w:szCs w:val="20"/>
          <w:vertAlign w:val="superscript"/>
        </w:rPr>
        <w:t>b</w:t>
      </w:r>
      <w:r w:rsidRPr="00BF6EA4">
        <w:rPr>
          <w:sz w:val="20"/>
          <w:szCs w:val="20"/>
        </w:rPr>
        <w:t>Owners</w:t>
      </w:r>
      <w:proofErr w:type="spellEnd"/>
      <w:r w:rsidRPr="00BF6EA4">
        <w:rPr>
          <w:sz w:val="20"/>
          <w:szCs w:val="20"/>
        </w:rPr>
        <w:t xml:space="preserve">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rsidR="00BF6EA4" w:rsidRPr="00BF6EA4" w:rsidRDefault="00BF6EA4" w:rsidP="00BF6EA4">
      <w:pPr>
        <w:pStyle w:val="tablenote"/>
        <w:spacing w:before="0" w:beforeAutospacing="0" w:after="120" w:afterAutospacing="0"/>
        <w:rPr>
          <w:sz w:val="20"/>
          <w:szCs w:val="20"/>
        </w:rPr>
      </w:pPr>
      <w:proofErr w:type="spellStart"/>
      <w:r w:rsidRPr="00BF6EA4">
        <w:rPr>
          <w:sz w:val="20"/>
          <w:szCs w:val="20"/>
          <w:vertAlign w:val="superscript"/>
        </w:rPr>
        <w:t>c</w:t>
      </w:r>
      <w:r w:rsidRPr="00BF6EA4">
        <w:rPr>
          <w:sz w:val="20"/>
          <w:szCs w:val="20"/>
        </w:rPr>
        <w:t>The</w:t>
      </w:r>
      <w:proofErr w:type="spellEnd"/>
      <w:r w:rsidRPr="00BF6EA4">
        <w:rPr>
          <w:sz w:val="20"/>
          <w:szCs w:val="20"/>
        </w:rPr>
        <w:t xml:space="preserve"> emission standards applicable to emergency engines between 25 HP and 130 HP are in terms of NO</w:t>
      </w:r>
      <w:r w:rsidRPr="00BF6EA4">
        <w:rPr>
          <w:sz w:val="20"/>
          <w:szCs w:val="20"/>
          <w:vertAlign w:val="subscript"/>
        </w:rPr>
        <w:t>X</w:t>
      </w:r>
      <w:r w:rsidRPr="00BF6EA4">
        <w:rPr>
          <w:sz w:val="20"/>
          <w:szCs w:val="20"/>
        </w:rPr>
        <w:t>+HC.</w:t>
      </w:r>
    </w:p>
    <w:p w:rsidR="00BF6EA4" w:rsidRPr="00BF6EA4" w:rsidRDefault="00BF6EA4" w:rsidP="00BF6EA4">
      <w:pPr>
        <w:pStyle w:val="tablenote"/>
        <w:spacing w:before="0" w:beforeAutospacing="0" w:after="120" w:afterAutospacing="0"/>
        <w:rPr>
          <w:sz w:val="20"/>
          <w:szCs w:val="20"/>
        </w:rPr>
      </w:pPr>
      <w:proofErr w:type="spellStart"/>
      <w:r w:rsidRPr="00BF6EA4">
        <w:rPr>
          <w:sz w:val="20"/>
          <w:szCs w:val="20"/>
          <w:vertAlign w:val="superscript"/>
        </w:rPr>
        <w:t>d</w:t>
      </w:r>
      <w:r w:rsidRPr="00BF6EA4">
        <w:rPr>
          <w:sz w:val="20"/>
          <w:szCs w:val="20"/>
        </w:rPr>
        <w:t>For</w:t>
      </w:r>
      <w:proofErr w:type="spellEnd"/>
      <w:r w:rsidRPr="00BF6EA4">
        <w:rPr>
          <w:sz w:val="20"/>
          <w:szCs w:val="20"/>
        </w:rPr>
        <w:t xml:space="preserve"> purposes of this subpart, when calculating emissions of volatile organic compounds, emissions of formaldehyde should not be included.</w:t>
      </w:r>
    </w:p>
    <w:p w:rsidR="00BF6EA4" w:rsidRPr="00BF6EA4" w:rsidRDefault="00BF6EA4" w:rsidP="00BF6EA4">
      <w:pPr>
        <w:pStyle w:val="Heading5"/>
        <w:spacing w:before="0" w:beforeAutospacing="0" w:after="120" w:afterAutospacing="0"/>
      </w:pPr>
      <w:r w:rsidRPr="00BF6EA4">
        <w:t>Table 2 to Subpart JJJJ of Part 60—Requirements for Performance Tests</w:t>
      </w:r>
    </w:p>
    <w:p w:rsidR="00BF6EA4" w:rsidRPr="00BF6EA4" w:rsidRDefault="00BF6EA4" w:rsidP="00BF6EA4">
      <w:pPr>
        <w:pStyle w:val="tabledescription"/>
        <w:spacing w:before="0" w:beforeAutospacing="0" w:after="120" w:afterAutospacing="0"/>
        <w:rPr>
          <w:sz w:val="20"/>
          <w:szCs w:val="20"/>
        </w:rPr>
      </w:pPr>
      <w:r w:rsidRPr="00BF6EA4">
        <w:rPr>
          <w:sz w:val="20"/>
          <w:szCs w:val="20"/>
        </w:rPr>
        <w:t>[As stated in §60.4244, you must comply with the following requirements for performance tests within 10 percent of 100 percent peak (or the highest achievable) load]</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717"/>
        <w:gridCol w:w="2049"/>
        <w:gridCol w:w="2701"/>
        <w:gridCol w:w="2027"/>
        <w:gridCol w:w="1730"/>
      </w:tblGrid>
      <w:tr w:rsidR="00BF6EA4" w:rsidRPr="00BF6EA4" w:rsidTr="00344C12">
        <w:trPr>
          <w:tblHeader/>
        </w:trPr>
        <w:tc>
          <w:tcPr>
            <w:tcW w:w="0" w:type="auto"/>
            <w:vAlign w:val="bottom"/>
          </w:tcPr>
          <w:p w:rsidR="00BF6EA4" w:rsidRPr="00BF6EA4" w:rsidRDefault="00BF6EA4" w:rsidP="00344C12">
            <w:pPr>
              <w:jc w:val="center"/>
              <w:rPr>
                <w:b/>
                <w:bCs/>
                <w:sz w:val="20"/>
                <w:szCs w:val="20"/>
              </w:rPr>
            </w:pPr>
            <w:r w:rsidRPr="00BF6EA4">
              <w:rPr>
                <w:b/>
                <w:bCs/>
                <w:sz w:val="20"/>
                <w:szCs w:val="20"/>
              </w:rPr>
              <w:t>For each</w:t>
            </w:r>
          </w:p>
        </w:tc>
        <w:tc>
          <w:tcPr>
            <w:tcW w:w="0" w:type="auto"/>
            <w:vAlign w:val="bottom"/>
          </w:tcPr>
          <w:p w:rsidR="00BF6EA4" w:rsidRPr="00BF6EA4" w:rsidRDefault="00BF6EA4" w:rsidP="00344C12">
            <w:pPr>
              <w:jc w:val="center"/>
              <w:rPr>
                <w:b/>
                <w:bCs/>
                <w:sz w:val="20"/>
                <w:szCs w:val="20"/>
              </w:rPr>
            </w:pPr>
            <w:r w:rsidRPr="00BF6EA4">
              <w:rPr>
                <w:b/>
                <w:bCs/>
                <w:sz w:val="20"/>
                <w:szCs w:val="20"/>
              </w:rPr>
              <w:t>Complying with the</w:t>
            </w:r>
            <w:r w:rsidRPr="00BF6EA4">
              <w:rPr>
                <w:b/>
                <w:bCs/>
                <w:sz w:val="20"/>
                <w:szCs w:val="20"/>
              </w:rPr>
              <w:br/>
              <w:t>requirement to</w:t>
            </w:r>
          </w:p>
        </w:tc>
        <w:tc>
          <w:tcPr>
            <w:tcW w:w="0" w:type="auto"/>
            <w:vAlign w:val="bottom"/>
          </w:tcPr>
          <w:p w:rsidR="00BF6EA4" w:rsidRPr="00BF6EA4" w:rsidRDefault="00BF6EA4" w:rsidP="00344C12">
            <w:pPr>
              <w:jc w:val="center"/>
              <w:rPr>
                <w:b/>
                <w:bCs/>
                <w:sz w:val="20"/>
                <w:szCs w:val="20"/>
              </w:rPr>
            </w:pPr>
            <w:r w:rsidRPr="00BF6EA4">
              <w:rPr>
                <w:b/>
                <w:bCs/>
                <w:sz w:val="20"/>
                <w:szCs w:val="20"/>
              </w:rPr>
              <w:t>You must</w:t>
            </w:r>
          </w:p>
        </w:tc>
        <w:tc>
          <w:tcPr>
            <w:tcW w:w="0" w:type="auto"/>
            <w:vAlign w:val="bottom"/>
          </w:tcPr>
          <w:p w:rsidR="00BF6EA4" w:rsidRPr="00BF6EA4" w:rsidRDefault="00BF6EA4" w:rsidP="00344C12">
            <w:pPr>
              <w:jc w:val="center"/>
              <w:rPr>
                <w:b/>
                <w:bCs/>
                <w:sz w:val="20"/>
                <w:szCs w:val="20"/>
              </w:rPr>
            </w:pPr>
            <w:r w:rsidRPr="00BF6EA4">
              <w:rPr>
                <w:b/>
                <w:bCs/>
                <w:sz w:val="20"/>
                <w:szCs w:val="20"/>
              </w:rPr>
              <w:t>Using</w:t>
            </w:r>
          </w:p>
        </w:tc>
        <w:tc>
          <w:tcPr>
            <w:tcW w:w="0" w:type="auto"/>
            <w:vAlign w:val="bottom"/>
          </w:tcPr>
          <w:p w:rsidR="00BF6EA4" w:rsidRPr="00BF6EA4" w:rsidRDefault="00BF6EA4" w:rsidP="00344C12">
            <w:pPr>
              <w:jc w:val="center"/>
              <w:rPr>
                <w:b/>
                <w:bCs/>
                <w:sz w:val="20"/>
                <w:szCs w:val="20"/>
              </w:rPr>
            </w:pPr>
            <w:r w:rsidRPr="00BF6EA4">
              <w:rPr>
                <w:b/>
                <w:bCs/>
                <w:sz w:val="20"/>
                <w:szCs w:val="20"/>
              </w:rPr>
              <w:t>According to the following requirements</w:t>
            </w: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1. Stationary SI internal combustion engine demonstrating compliance according to §60.4244.</w:t>
            </w:r>
          </w:p>
        </w:tc>
        <w:tc>
          <w:tcPr>
            <w:tcW w:w="0" w:type="auto"/>
          </w:tcPr>
          <w:p w:rsidR="00BF6EA4" w:rsidRPr="00BF6EA4" w:rsidRDefault="00BF6EA4" w:rsidP="00344C12">
            <w:pPr>
              <w:rPr>
                <w:sz w:val="20"/>
                <w:szCs w:val="20"/>
              </w:rPr>
            </w:pPr>
            <w:r w:rsidRPr="00BF6EA4">
              <w:rPr>
                <w:sz w:val="20"/>
                <w:szCs w:val="20"/>
              </w:rPr>
              <w:t>a. limit the concentration of NO</w:t>
            </w:r>
            <w:r w:rsidRPr="00BF6EA4">
              <w:rPr>
                <w:sz w:val="20"/>
                <w:szCs w:val="20"/>
                <w:vertAlign w:val="subscript"/>
              </w:rPr>
              <w:t>X</w:t>
            </w:r>
            <w:r w:rsidRPr="00BF6EA4">
              <w:rPr>
                <w:sz w:val="20"/>
                <w:szCs w:val="20"/>
              </w:rPr>
              <w:t xml:space="preserve"> in the stationary SI internal combustion engine exhaust.</w:t>
            </w:r>
          </w:p>
        </w:tc>
        <w:tc>
          <w:tcPr>
            <w:tcW w:w="0" w:type="auto"/>
          </w:tcPr>
          <w:p w:rsidR="00BF6EA4" w:rsidRPr="00BF6EA4" w:rsidRDefault="00BF6EA4" w:rsidP="00344C12">
            <w:pPr>
              <w:rPr>
                <w:sz w:val="20"/>
                <w:szCs w:val="20"/>
              </w:rPr>
            </w:pPr>
            <w:r w:rsidRPr="00BF6EA4">
              <w:rPr>
                <w:sz w:val="20"/>
                <w:szCs w:val="20"/>
              </w:rPr>
              <w:t>i. Select the sampling port location and the number of traverse points;</w:t>
            </w:r>
          </w:p>
        </w:tc>
        <w:tc>
          <w:tcPr>
            <w:tcW w:w="0" w:type="auto"/>
          </w:tcPr>
          <w:p w:rsidR="00BF6EA4" w:rsidRPr="00BF6EA4" w:rsidRDefault="00BF6EA4" w:rsidP="00344C12">
            <w:pPr>
              <w:rPr>
                <w:sz w:val="20"/>
                <w:szCs w:val="20"/>
              </w:rPr>
            </w:pPr>
            <w:r w:rsidRPr="00BF6EA4">
              <w:rPr>
                <w:sz w:val="20"/>
                <w:szCs w:val="20"/>
              </w:rPr>
              <w:t>(1) Method 1 or 1A of 40 CFR part 60, appendix A or ASTM Method D6522–00(2005)</w:t>
            </w:r>
            <w:r w:rsidRPr="00BF6EA4">
              <w:rPr>
                <w:sz w:val="20"/>
                <w:szCs w:val="20"/>
                <w:vertAlign w:val="superscript"/>
              </w:rPr>
              <w:t>a</w:t>
            </w:r>
            <w:r w:rsidRPr="00BF6EA4">
              <w:rPr>
                <w:sz w:val="20"/>
                <w:szCs w:val="20"/>
              </w:rPr>
              <w:t>.</w:t>
            </w:r>
          </w:p>
        </w:tc>
        <w:tc>
          <w:tcPr>
            <w:tcW w:w="0" w:type="auto"/>
          </w:tcPr>
          <w:p w:rsidR="00BF6EA4" w:rsidRPr="00BF6EA4" w:rsidRDefault="00BF6EA4" w:rsidP="00344C12">
            <w:pPr>
              <w:rPr>
                <w:sz w:val="20"/>
                <w:szCs w:val="20"/>
              </w:rPr>
            </w:pPr>
            <w:r w:rsidRPr="00BF6EA4">
              <w:rPr>
                <w:sz w:val="20"/>
                <w:szCs w:val="20"/>
              </w:rPr>
              <w:t>(a) If using a control device, the sampling site must be located at the outlet of the control device.</w:t>
            </w: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ii. Determine the O</w:t>
            </w:r>
            <w:r w:rsidRPr="00BF6EA4">
              <w:rPr>
                <w:sz w:val="20"/>
                <w:szCs w:val="20"/>
                <w:vertAlign w:val="subscript"/>
              </w:rPr>
              <w:t>2</w:t>
            </w:r>
            <w:r w:rsidRPr="00BF6EA4">
              <w:rPr>
                <w:sz w:val="20"/>
                <w:szCs w:val="20"/>
              </w:rPr>
              <w:t>concentration of the stationary internal combustion engine exhaust at the sampling port location;</w:t>
            </w:r>
          </w:p>
        </w:tc>
        <w:tc>
          <w:tcPr>
            <w:tcW w:w="0" w:type="auto"/>
          </w:tcPr>
          <w:p w:rsidR="00BF6EA4" w:rsidRPr="00BF6EA4" w:rsidRDefault="00BF6EA4" w:rsidP="00344C12">
            <w:pPr>
              <w:rPr>
                <w:sz w:val="20"/>
                <w:szCs w:val="20"/>
              </w:rPr>
            </w:pPr>
            <w:r w:rsidRPr="00BF6EA4">
              <w:rPr>
                <w:sz w:val="20"/>
                <w:szCs w:val="20"/>
              </w:rPr>
              <w:t>(2) Method 3, 3A, or 3B</w:t>
            </w:r>
            <w:r w:rsidRPr="00BF6EA4">
              <w:rPr>
                <w:sz w:val="20"/>
                <w:szCs w:val="20"/>
                <w:vertAlign w:val="superscript"/>
              </w:rPr>
              <w:t>b</w:t>
            </w:r>
            <w:r w:rsidRPr="00BF6EA4">
              <w:rPr>
                <w:sz w:val="20"/>
                <w:szCs w:val="20"/>
              </w:rPr>
              <w:t>of 40 CFR part 60, appendix A or ASTM Method D6522–00(2005)</w:t>
            </w:r>
            <w:r w:rsidRPr="00BF6EA4">
              <w:rPr>
                <w:sz w:val="20"/>
                <w:szCs w:val="20"/>
                <w:vertAlign w:val="superscript"/>
              </w:rPr>
              <w:t>a</w:t>
            </w:r>
            <w:r w:rsidRPr="00BF6EA4">
              <w:rPr>
                <w:sz w:val="20"/>
                <w:szCs w:val="20"/>
              </w:rPr>
              <w:t>.</w:t>
            </w:r>
          </w:p>
        </w:tc>
        <w:tc>
          <w:tcPr>
            <w:tcW w:w="0" w:type="auto"/>
          </w:tcPr>
          <w:p w:rsidR="00BF6EA4" w:rsidRPr="00BF6EA4" w:rsidRDefault="00BF6EA4" w:rsidP="00344C12">
            <w:pPr>
              <w:rPr>
                <w:sz w:val="20"/>
                <w:szCs w:val="20"/>
              </w:rPr>
            </w:pPr>
            <w:r w:rsidRPr="00BF6EA4">
              <w:rPr>
                <w:sz w:val="20"/>
                <w:szCs w:val="20"/>
              </w:rPr>
              <w:t>(b) Measurements to determine O</w:t>
            </w:r>
            <w:r w:rsidRPr="00BF6EA4">
              <w:rPr>
                <w:sz w:val="20"/>
                <w:szCs w:val="20"/>
                <w:vertAlign w:val="subscript"/>
              </w:rPr>
              <w:t>2</w:t>
            </w:r>
            <w:r w:rsidRPr="00BF6EA4">
              <w:rPr>
                <w:sz w:val="20"/>
                <w:szCs w:val="20"/>
              </w:rPr>
              <w:t>concentration must be made at the same time as the measurements for NO</w:t>
            </w:r>
            <w:r w:rsidRPr="00BF6EA4">
              <w:rPr>
                <w:sz w:val="20"/>
                <w:szCs w:val="20"/>
                <w:vertAlign w:val="subscript"/>
              </w:rPr>
              <w:t>X</w:t>
            </w:r>
            <w:r w:rsidRPr="00BF6EA4">
              <w:rPr>
                <w:sz w:val="20"/>
                <w:szCs w:val="20"/>
              </w:rPr>
              <w:t xml:space="preserve"> concentration.</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 xml:space="preserve">iii. Determine the exhaust </w:t>
            </w:r>
            <w:proofErr w:type="spellStart"/>
            <w:r w:rsidRPr="00BF6EA4">
              <w:rPr>
                <w:sz w:val="20"/>
                <w:szCs w:val="20"/>
              </w:rPr>
              <w:t>flowrate</w:t>
            </w:r>
            <w:proofErr w:type="spellEnd"/>
            <w:r w:rsidRPr="00BF6EA4">
              <w:rPr>
                <w:sz w:val="20"/>
                <w:szCs w:val="20"/>
              </w:rPr>
              <w:t xml:space="preserve"> of the stationary internal combustion engine exhaust;</w:t>
            </w:r>
          </w:p>
        </w:tc>
        <w:tc>
          <w:tcPr>
            <w:tcW w:w="0" w:type="auto"/>
          </w:tcPr>
          <w:p w:rsidR="00BF6EA4" w:rsidRPr="00BF6EA4" w:rsidRDefault="00BF6EA4" w:rsidP="00344C12">
            <w:pPr>
              <w:rPr>
                <w:sz w:val="20"/>
                <w:szCs w:val="20"/>
              </w:rPr>
            </w:pPr>
            <w:r w:rsidRPr="00BF6EA4">
              <w:rPr>
                <w:sz w:val="20"/>
                <w:szCs w:val="20"/>
              </w:rPr>
              <w:t>(3) Method 2 or 19 of 40 CFR part 60.</w:t>
            </w:r>
          </w:p>
        </w:tc>
        <w:tc>
          <w:tcPr>
            <w:tcW w:w="0" w:type="auto"/>
          </w:tcPr>
          <w:p w:rsidR="00BF6EA4" w:rsidRPr="00BF6EA4" w:rsidRDefault="00BF6EA4" w:rsidP="00344C12">
            <w:pPr>
              <w:rPr>
                <w:sz w:val="20"/>
                <w:szCs w:val="20"/>
              </w:rPr>
            </w:pP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lastRenderedPageBreak/>
              <w:t>  </w:t>
            </w:r>
          </w:p>
        </w:tc>
        <w:tc>
          <w:tcPr>
            <w:tcW w:w="0" w:type="auto"/>
          </w:tcPr>
          <w:p w:rsidR="00BF6EA4" w:rsidRPr="00BF6EA4" w:rsidRDefault="00BF6EA4" w:rsidP="00344C12">
            <w:pPr>
              <w:rPr>
                <w:sz w:val="20"/>
                <w:szCs w:val="20"/>
              </w:rPr>
            </w:pPr>
            <w:r w:rsidRPr="00BF6EA4">
              <w:rPr>
                <w:sz w:val="20"/>
                <w:szCs w:val="20"/>
              </w:rPr>
              <w:t>iv. If necessary, measure moisture content of the stationary internal combustion engine exhaust at the sampling port location; and</w:t>
            </w:r>
          </w:p>
        </w:tc>
        <w:tc>
          <w:tcPr>
            <w:tcW w:w="0" w:type="auto"/>
          </w:tcPr>
          <w:p w:rsidR="00BF6EA4" w:rsidRPr="00BF6EA4" w:rsidRDefault="00BF6EA4" w:rsidP="00344C12">
            <w:pPr>
              <w:rPr>
                <w:sz w:val="20"/>
                <w:szCs w:val="20"/>
              </w:rPr>
            </w:pPr>
            <w:r w:rsidRPr="00BF6EA4">
              <w:rPr>
                <w:sz w:val="20"/>
                <w:szCs w:val="20"/>
              </w:rPr>
              <w:t>(4) Method 4 of 40 CFR part 60, appendix A, Method 320 of 40 CFR part 63, appendix A, or ASTM D6348–03 (incorporated by reference, see §60.17).</w:t>
            </w:r>
          </w:p>
        </w:tc>
        <w:tc>
          <w:tcPr>
            <w:tcW w:w="0" w:type="auto"/>
          </w:tcPr>
          <w:p w:rsidR="00BF6EA4" w:rsidRPr="00BF6EA4" w:rsidRDefault="00BF6EA4" w:rsidP="00344C12">
            <w:pPr>
              <w:rPr>
                <w:sz w:val="20"/>
                <w:szCs w:val="20"/>
              </w:rPr>
            </w:pPr>
            <w:r w:rsidRPr="00BF6EA4">
              <w:rPr>
                <w:sz w:val="20"/>
                <w:szCs w:val="20"/>
              </w:rPr>
              <w:t>(c) Measurements to determine moisture must be made at the same time as the measurement for NO</w:t>
            </w:r>
            <w:r w:rsidRPr="00BF6EA4">
              <w:rPr>
                <w:sz w:val="20"/>
                <w:szCs w:val="20"/>
                <w:vertAlign w:val="subscript"/>
              </w:rPr>
              <w:t>X</w:t>
            </w:r>
            <w:r w:rsidRPr="00BF6EA4">
              <w:rPr>
                <w:sz w:val="20"/>
                <w:szCs w:val="20"/>
              </w:rPr>
              <w:t xml:space="preserve"> concentration.</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v. Measure NO</w:t>
            </w:r>
            <w:r w:rsidRPr="00BF6EA4">
              <w:rPr>
                <w:sz w:val="20"/>
                <w:szCs w:val="20"/>
                <w:vertAlign w:val="subscript"/>
              </w:rPr>
              <w:t xml:space="preserve">X </w:t>
            </w:r>
            <w:r w:rsidRPr="00BF6EA4">
              <w:rPr>
                <w:sz w:val="20"/>
                <w:szCs w:val="20"/>
              </w:rPr>
              <w:t>at the exhaust of the stationary internal combustion engine.</w:t>
            </w:r>
          </w:p>
        </w:tc>
        <w:tc>
          <w:tcPr>
            <w:tcW w:w="0" w:type="auto"/>
          </w:tcPr>
          <w:p w:rsidR="00BF6EA4" w:rsidRPr="00BF6EA4" w:rsidRDefault="00BF6EA4" w:rsidP="00344C12">
            <w:pPr>
              <w:rPr>
                <w:sz w:val="20"/>
                <w:szCs w:val="20"/>
              </w:rPr>
            </w:pPr>
            <w:r w:rsidRPr="00BF6EA4">
              <w:rPr>
                <w:sz w:val="20"/>
                <w:szCs w:val="20"/>
              </w:rPr>
              <w:t>(5) Method 7E of 40 CFR part 60, appendix A, Method D6522–00(2005)</w:t>
            </w:r>
            <w:r w:rsidRPr="00BF6EA4">
              <w:rPr>
                <w:sz w:val="20"/>
                <w:szCs w:val="20"/>
                <w:vertAlign w:val="superscript"/>
              </w:rPr>
              <w:t>a</w:t>
            </w:r>
            <w:r w:rsidRPr="00BF6EA4">
              <w:rPr>
                <w:sz w:val="20"/>
                <w:szCs w:val="20"/>
              </w:rPr>
              <w:t>, Method 320 of 40 CFR part 63, appendix A, or ASTM D6348–03 (incorporated by reference, see §60.17).</w:t>
            </w:r>
          </w:p>
        </w:tc>
        <w:tc>
          <w:tcPr>
            <w:tcW w:w="0" w:type="auto"/>
          </w:tcPr>
          <w:p w:rsidR="00BF6EA4" w:rsidRPr="00BF6EA4" w:rsidRDefault="00BF6EA4" w:rsidP="00344C12">
            <w:pPr>
              <w:rPr>
                <w:sz w:val="20"/>
                <w:szCs w:val="20"/>
              </w:rPr>
            </w:pPr>
            <w:r w:rsidRPr="00BF6EA4">
              <w:rPr>
                <w:sz w:val="20"/>
                <w:szCs w:val="20"/>
              </w:rPr>
              <w:t>(d) Results of this test consist of the average of the three 1-hour or longer runs.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b. limit the concentration of CO in the stationary SI internal combustion engine exhaust.</w:t>
            </w:r>
          </w:p>
        </w:tc>
        <w:tc>
          <w:tcPr>
            <w:tcW w:w="0" w:type="auto"/>
          </w:tcPr>
          <w:p w:rsidR="00BF6EA4" w:rsidRPr="00BF6EA4" w:rsidRDefault="00BF6EA4" w:rsidP="00344C12">
            <w:pPr>
              <w:rPr>
                <w:sz w:val="20"/>
                <w:szCs w:val="20"/>
              </w:rPr>
            </w:pPr>
            <w:r w:rsidRPr="00BF6EA4">
              <w:rPr>
                <w:sz w:val="20"/>
                <w:szCs w:val="20"/>
              </w:rPr>
              <w:t>i. Select the sampling port location and the number of traverse points;</w:t>
            </w:r>
          </w:p>
        </w:tc>
        <w:tc>
          <w:tcPr>
            <w:tcW w:w="0" w:type="auto"/>
          </w:tcPr>
          <w:p w:rsidR="00BF6EA4" w:rsidRPr="00BF6EA4" w:rsidRDefault="00BF6EA4" w:rsidP="00344C12">
            <w:pPr>
              <w:rPr>
                <w:sz w:val="20"/>
                <w:szCs w:val="20"/>
              </w:rPr>
            </w:pPr>
            <w:r w:rsidRPr="00BF6EA4">
              <w:rPr>
                <w:sz w:val="20"/>
                <w:szCs w:val="20"/>
              </w:rPr>
              <w:t>(1) Method 1 or 1A of 40 CFR part 60, appendix A.</w:t>
            </w:r>
          </w:p>
        </w:tc>
        <w:tc>
          <w:tcPr>
            <w:tcW w:w="0" w:type="auto"/>
          </w:tcPr>
          <w:p w:rsidR="00BF6EA4" w:rsidRPr="00BF6EA4" w:rsidRDefault="00BF6EA4" w:rsidP="00344C12">
            <w:pPr>
              <w:rPr>
                <w:sz w:val="20"/>
                <w:szCs w:val="20"/>
              </w:rPr>
            </w:pPr>
            <w:r w:rsidRPr="00BF6EA4">
              <w:rPr>
                <w:sz w:val="20"/>
                <w:szCs w:val="20"/>
              </w:rPr>
              <w:t>(a) If using a control device, the sampling site must be located at the outlet of the control device.</w:t>
            </w:r>
          </w:p>
        </w:tc>
      </w:tr>
      <w:tr w:rsidR="00BF6EA4" w:rsidRPr="00BF6EA4" w:rsidTr="00344C12">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ii. Determine the O</w:t>
            </w:r>
            <w:r w:rsidRPr="00BF6EA4">
              <w:rPr>
                <w:sz w:val="20"/>
                <w:szCs w:val="20"/>
                <w:vertAlign w:val="subscript"/>
              </w:rPr>
              <w:t>2</w:t>
            </w:r>
            <w:r w:rsidRPr="00BF6EA4">
              <w:rPr>
                <w:sz w:val="20"/>
                <w:szCs w:val="20"/>
              </w:rPr>
              <w:t>concentration of the stationary internal combustion engine exhaust at the sampling port location;</w:t>
            </w:r>
          </w:p>
        </w:tc>
        <w:tc>
          <w:tcPr>
            <w:tcW w:w="0" w:type="auto"/>
          </w:tcPr>
          <w:p w:rsidR="00BF6EA4" w:rsidRPr="00BF6EA4" w:rsidRDefault="00BF6EA4" w:rsidP="00344C12">
            <w:pPr>
              <w:rPr>
                <w:sz w:val="20"/>
                <w:szCs w:val="20"/>
              </w:rPr>
            </w:pPr>
            <w:r w:rsidRPr="00BF6EA4">
              <w:rPr>
                <w:sz w:val="20"/>
                <w:szCs w:val="20"/>
              </w:rPr>
              <w:t>(2) Method 3, 3A, or 3Bb of 40 CFR part 60, appendix A or ASTM Method D6522–00(2005)</w:t>
            </w:r>
            <w:r w:rsidRPr="00BF6EA4">
              <w:rPr>
                <w:sz w:val="20"/>
                <w:szCs w:val="20"/>
                <w:vertAlign w:val="superscript"/>
              </w:rPr>
              <w:t>a</w:t>
            </w:r>
            <w:r w:rsidRPr="00BF6EA4">
              <w:rPr>
                <w:sz w:val="20"/>
                <w:szCs w:val="20"/>
              </w:rPr>
              <w:t>.</w:t>
            </w:r>
          </w:p>
        </w:tc>
        <w:tc>
          <w:tcPr>
            <w:tcW w:w="0" w:type="auto"/>
          </w:tcPr>
          <w:p w:rsidR="00BF6EA4" w:rsidRPr="00BF6EA4" w:rsidRDefault="00BF6EA4" w:rsidP="00344C12">
            <w:pPr>
              <w:rPr>
                <w:sz w:val="20"/>
                <w:szCs w:val="20"/>
              </w:rPr>
            </w:pPr>
            <w:r w:rsidRPr="00BF6EA4">
              <w:rPr>
                <w:sz w:val="20"/>
                <w:szCs w:val="20"/>
              </w:rPr>
              <w:t>(b) Measurements to determine O</w:t>
            </w:r>
            <w:r w:rsidRPr="00BF6EA4">
              <w:rPr>
                <w:sz w:val="20"/>
                <w:szCs w:val="20"/>
                <w:vertAlign w:val="subscript"/>
              </w:rPr>
              <w:t>2</w:t>
            </w:r>
            <w:r w:rsidRPr="00BF6EA4">
              <w:rPr>
                <w:sz w:val="20"/>
                <w:szCs w:val="20"/>
              </w:rPr>
              <w:t>concentration must be made at the same time as the measurements for CO concentration.</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 xml:space="preserve">iii. Determine the exhaust </w:t>
            </w:r>
            <w:proofErr w:type="spellStart"/>
            <w:r w:rsidRPr="00BF6EA4">
              <w:rPr>
                <w:sz w:val="20"/>
                <w:szCs w:val="20"/>
              </w:rPr>
              <w:t>flowrate</w:t>
            </w:r>
            <w:proofErr w:type="spellEnd"/>
            <w:r w:rsidRPr="00BF6EA4">
              <w:rPr>
                <w:sz w:val="20"/>
                <w:szCs w:val="20"/>
              </w:rPr>
              <w:t xml:space="preserve"> of the stationary internal combustion engine exhaust;</w:t>
            </w:r>
          </w:p>
        </w:tc>
        <w:tc>
          <w:tcPr>
            <w:tcW w:w="0" w:type="auto"/>
          </w:tcPr>
          <w:p w:rsidR="00BF6EA4" w:rsidRPr="00BF6EA4" w:rsidRDefault="00BF6EA4" w:rsidP="00344C12">
            <w:pPr>
              <w:rPr>
                <w:sz w:val="20"/>
                <w:szCs w:val="20"/>
              </w:rPr>
            </w:pPr>
            <w:r w:rsidRPr="00BF6EA4">
              <w:rPr>
                <w:sz w:val="20"/>
                <w:szCs w:val="20"/>
              </w:rPr>
              <w:t>(3) Method 2 or 19 of 40 CFR part 60.</w:t>
            </w:r>
          </w:p>
        </w:tc>
        <w:tc>
          <w:tcPr>
            <w:tcW w:w="0" w:type="auto"/>
          </w:tcPr>
          <w:p w:rsidR="00BF6EA4" w:rsidRPr="00BF6EA4" w:rsidRDefault="00BF6EA4" w:rsidP="00344C12">
            <w:pPr>
              <w:rPr>
                <w:sz w:val="20"/>
                <w:szCs w:val="20"/>
              </w:rPr>
            </w:pP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 xml:space="preserve">iv. If necessary, measure moisture </w:t>
            </w:r>
            <w:r w:rsidRPr="00BF6EA4">
              <w:rPr>
                <w:sz w:val="20"/>
                <w:szCs w:val="20"/>
              </w:rPr>
              <w:lastRenderedPageBreak/>
              <w:t>content of the stationary internal combustion engine exhaust at the sampling port location; and</w:t>
            </w:r>
          </w:p>
        </w:tc>
        <w:tc>
          <w:tcPr>
            <w:tcW w:w="0" w:type="auto"/>
          </w:tcPr>
          <w:p w:rsidR="00BF6EA4" w:rsidRPr="00BF6EA4" w:rsidRDefault="00BF6EA4" w:rsidP="00344C12">
            <w:pPr>
              <w:rPr>
                <w:sz w:val="20"/>
                <w:szCs w:val="20"/>
              </w:rPr>
            </w:pPr>
            <w:r w:rsidRPr="00BF6EA4">
              <w:rPr>
                <w:sz w:val="20"/>
                <w:szCs w:val="20"/>
              </w:rPr>
              <w:lastRenderedPageBreak/>
              <w:t xml:space="preserve">(4) Method 4 of 40 CFR part 60, appendix A, Method 320 of </w:t>
            </w:r>
            <w:r w:rsidRPr="00BF6EA4">
              <w:rPr>
                <w:sz w:val="20"/>
                <w:szCs w:val="20"/>
              </w:rPr>
              <w:lastRenderedPageBreak/>
              <w:t>40 CFR part 63, appendix A, or ASTM D6348–03 (incorporated by reference, see §60.17).</w:t>
            </w:r>
          </w:p>
        </w:tc>
        <w:tc>
          <w:tcPr>
            <w:tcW w:w="0" w:type="auto"/>
          </w:tcPr>
          <w:p w:rsidR="00BF6EA4" w:rsidRPr="00BF6EA4" w:rsidRDefault="00BF6EA4" w:rsidP="00344C12">
            <w:pPr>
              <w:rPr>
                <w:sz w:val="20"/>
                <w:szCs w:val="20"/>
              </w:rPr>
            </w:pPr>
            <w:r w:rsidRPr="00BF6EA4">
              <w:rPr>
                <w:sz w:val="20"/>
                <w:szCs w:val="20"/>
              </w:rPr>
              <w:lastRenderedPageBreak/>
              <w:t xml:space="preserve">(c) Measurements to determine moisture </w:t>
            </w:r>
            <w:r w:rsidRPr="00BF6EA4">
              <w:rPr>
                <w:sz w:val="20"/>
                <w:szCs w:val="20"/>
              </w:rPr>
              <w:lastRenderedPageBreak/>
              <w:t>must be made at the same time as the measurement for CO concentration.</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lastRenderedPageBreak/>
              <w:t>  </w:t>
            </w:r>
          </w:p>
        </w:tc>
        <w:tc>
          <w:tcPr>
            <w:tcW w:w="0" w:type="auto"/>
          </w:tcPr>
          <w:p w:rsidR="00BF6EA4" w:rsidRPr="00BF6EA4" w:rsidRDefault="00BF6EA4" w:rsidP="00344C12">
            <w:pPr>
              <w:rPr>
                <w:sz w:val="20"/>
                <w:szCs w:val="20"/>
              </w:rPr>
            </w:pPr>
            <w:r w:rsidRPr="00BF6EA4">
              <w:rPr>
                <w:sz w:val="20"/>
                <w:szCs w:val="20"/>
              </w:rPr>
              <w:t>v. Measure CO at the exhaust of the stationary internal combustion engine.</w:t>
            </w:r>
          </w:p>
        </w:tc>
        <w:tc>
          <w:tcPr>
            <w:tcW w:w="0" w:type="auto"/>
          </w:tcPr>
          <w:p w:rsidR="00BF6EA4" w:rsidRPr="00BF6EA4" w:rsidRDefault="00BF6EA4" w:rsidP="00344C12">
            <w:pPr>
              <w:rPr>
                <w:sz w:val="20"/>
                <w:szCs w:val="20"/>
              </w:rPr>
            </w:pPr>
            <w:r w:rsidRPr="00BF6EA4">
              <w:rPr>
                <w:sz w:val="20"/>
                <w:szCs w:val="20"/>
              </w:rPr>
              <w:t>(5) Method 10 of 40 CFR part 60, appendix A, ASTM Method D6522–00(2005)</w:t>
            </w:r>
            <w:r w:rsidRPr="00BF6EA4">
              <w:rPr>
                <w:sz w:val="20"/>
                <w:szCs w:val="20"/>
                <w:vertAlign w:val="superscript"/>
              </w:rPr>
              <w:t>a</w:t>
            </w:r>
            <w:r w:rsidRPr="00BF6EA4">
              <w:rPr>
                <w:sz w:val="20"/>
                <w:szCs w:val="20"/>
              </w:rPr>
              <w:t>, Method 320 of 40 CFR part 63, appendix A, or ASTM D 6348–03 (incorporated by reference, see §60.17).</w:t>
            </w:r>
          </w:p>
        </w:tc>
        <w:tc>
          <w:tcPr>
            <w:tcW w:w="0" w:type="auto"/>
          </w:tcPr>
          <w:p w:rsidR="00BF6EA4" w:rsidRPr="00BF6EA4" w:rsidRDefault="00BF6EA4" w:rsidP="00344C12">
            <w:pPr>
              <w:rPr>
                <w:sz w:val="20"/>
                <w:szCs w:val="20"/>
              </w:rPr>
            </w:pPr>
            <w:r w:rsidRPr="00BF6EA4">
              <w:rPr>
                <w:sz w:val="20"/>
                <w:szCs w:val="20"/>
              </w:rPr>
              <w:t>(d) Results of this test consist of the average of the three 1-hour or longer runs.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c. limit the concentration of VOC in the stationary SI internal combustion engine exhaust.</w:t>
            </w:r>
          </w:p>
        </w:tc>
        <w:tc>
          <w:tcPr>
            <w:tcW w:w="0" w:type="auto"/>
          </w:tcPr>
          <w:p w:rsidR="00BF6EA4" w:rsidRPr="00BF6EA4" w:rsidRDefault="00BF6EA4" w:rsidP="00344C12">
            <w:pPr>
              <w:rPr>
                <w:sz w:val="20"/>
                <w:szCs w:val="20"/>
              </w:rPr>
            </w:pPr>
            <w:r w:rsidRPr="00BF6EA4">
              <w:rPr>
                <w:sz w:val="20"/>
                <w:szCs w:val="20"/>
              </w:rPr>
              <w:t>i. Select the sampling port location and the number of traverse points;</w:t>
            </w:r>
          </w:p>
        </w:tc>
        <w:tc>
          <w:tcPr>
            <w:tcW w:w="0" w:type="auto"/>
          </w:tcPr>
          <w:p w:rsidR="00BF6EA4" w:rsidRPr="00BF6EA4" w:rsidRDefault="00BF6EA4" w:rsidP="00344C12">
            <w:pPr>
              <w:rPr>
                <w:sz w:val="20"/>
                <w:szCs w:val="20"/>
              </w:rPr>
            </w:pPr>
            <w:r w:rsidRPr="00BF6EA4">
              <w:rPr>
                <w:sz w:val="20"/>
                <w:szCs w:val="20"/>
              </w:rPr>
              <w:t>(1) Method 1 or 1A of 40 CFR part 60, appendix A.</w:t>
            </w:r>
          </w:p>
        </w:tc>
        <w:tc>
          <w:tcPr>
            <w:tcW w:w="0" w:type="auto"/>
          </w:tcPr>
          <w:p w:rsidR="00BF6EA4" w:rsidRPr="00BF6EA4" w:rsidRDefault="00BF6EA4" w:rsidP="00344C12">
            <w:pPr>
              <w:rPr>
                <w:sz w:val="20"/>
                <w:szCs w:val="20"/>
              </w:rPr>
            </w:pPr>
            <w:r w:rsidRPr="00BF6EA4">
              <w:rPr>
                <w:sz w:val="20"/>
                <w:szCs w:val="20"/>
              </w:rPr>
              <w:t>(a) If using a control device, the sampling site must be located at the outlet of the control device.</w:t>
            </w:r>
          </w:p>
        </w:tc>
      </w:tr>
      <w:tr w:rsidR="00BF6EA4" w:rsidRPr="00BF6EA4" w:rsidTr="00344C12">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ii. Determine the O</w:t>
            </w:r>
            <w:r w:rsidRPr="00BF6EA4">
              <w:rPr>
                <w:sz w:val="20"/>
                <w:szCs w:val="20"/>
                <w:vertAlign w:val="subscript"/>
              </w:rPr>
              <w:t>2</w:t>
            </w:r>
            <w:r w:rsidRPr="00BF6EA4">
              <w:rPr>
                <w:sz w:val="20"/>
                <w:szCs w:val="20"/>
              </w:rPr>
              <w:t>concentration of the stationary internal combustion engine exhaust at the sampling port location;</w:t>
            </w:r>
          </w:p>
        </w:tc>
        <w:tc>
          <w:tcPr>
            <w:tcW w:w="0" w:type="auto"/>
          </w:tcPr>
          <w:p w:rsidR="00BF6EA4" w:rsidRPr="00BF6EA4" w:rsidRDefault="00BF6EA4" w:rsidP="00344C12">
            <w:pPr>
              <w:rPr>
                <w:sz w:val="20"/>
                <w:szCs w:val="20"/>
              </w:rPr>
            </w:pPr>
            <w:r w:rsidRPr="00BF6EA4">
              <w:rPr>
                <w:sz w:val="20"/>
                <w:szCs w:val="20"/>
              </w:rPr>
              <w:t>(2) Method 3, 3A, or 3B</w:t>
            </w:r>
            <w:r w:rsidRPr="00BF6EA4">
              <w:rPr>
                <w:sz w:val="20"/>
                <w:szCs w:val="20"/>
                <w:vertAlign w:val="superscript"/>
              </w:rPr>
              <w:t>b</w:t>
            </w:r>
            <w:r w:rsidRPr="00BF6EA4">
              <w:rPr>
                <w:sz w:val="20"/>
                <w:szCs w:val="20"/>
              </w:rPr>
              <w:t>of 40 CFR part 60, appendix A or ASTM Method D6522–00(2005)</w:t>
            </w:r>
            <w:r w:rsidRPr="00BF6EA4">
              <w:rPr>
                <w:sz w:val="20"/>
                <w:szCs w:val="20"/>
                <w:vertAlign w:val="superscript"/>
              </w:rPr>
              <w:t>a</w:t>
            </w:r>
            <w:r w:rsidRPr="00BF6EA4">
              <w:rPr>
                <w:sz w:val="20"/>
                <w:szCs w:val="20"/>
              </w:rPr>
              <w:t>.</w:t>
            </w:r>
          </w:p>
        </w:tc>
        <w:tc>
          <w:tcPr>
            <w:tcW w:w="0" w:type="auto"/>
          </w:tcPr>
          <w:p w:rsidR="00BF6EA4" w:rsidRPr="00BF6EA4" w:rsidRDefault="00BF6EA4" w:rsidP="00344C12">
            <w:pPr>
              <w:rPr>
                <w:sz w:val="20"/>
                <w:szCs w:val="20"/>
              </w:rPr>
            </w:pPr>
            <w:r w:rsidRPr="00BF6EA4">
              <w:rPr>
                <w:sz w:val="20"/>
                <w:szCs w:val="20"/>
              </w:rPr>
              <w:t>(b) Measurements to determine O</w:t>
            </w:r>
            <w:r w:rsidRPr="00BF6EA4">
              <w:rPr>
                <w:sz w:val="20"/>
                <w:szCs w:val="20"/>
                <w:vertAlign w:val="subscript"/>
              </w:rPr>
              <w:t>2</w:t>
            </w:r>
            <w:r w:rsidRPr="00BF6EA4">
              <w:rPr>
                <w:sz w:val="20"/>
                <w:szCs w:val="20"/>
              </w:rPr>
              <w:t>concentration must be made at the same time as the measurements for VOC concentration.</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 xml:space="preserve">iii. Determine the exhaust </w:t>
            </w:r>
            <w:proofErr w:type="spellStart"/>
            <w:r w:rsidRPr="00BF6EA4">
              <w:rPr>
                <w:sz w:val="20"/>
                <w:szCs w:val="20"/>
              </w:rPr>
              <w:t>flowrate</w:t>
            </w:r>
            <w:proofErr w:type="spellEnd"/>
            <w:r w:rsidRPr="00BF6EA4">
              <w:rPr>
                <w:sz w:val="20"/>
                <w:szCs w:val="20"/>
              </w:rPr>
              <w:t xml:space="preserve"> of the stationary internal combustion engine exhaust;</w:t>
            </w:r>
          </w:p>
        </w:tc>
        <w:tc>
          <w:tcPr>
            <w:tcW w:w="0" w:type="auto"/>
          </w:tcPr>
          <w:p w:rsidR="00BF6EA4" w:rsidRPr="00BF6EA4" w:rsidRDefault="00BF6EA4" w:rsidP="00344C12">
            <w:pPr>
              <w:rPr>
                <w:sz w:val="20"/>
                <w:szCs w:val="20"/>
              </w:rPr>
            </w:pPr>
            <w:r w:rsidRPr="00BF6EA4">
              <w:rPr>
                <w:sz w:val="20"/>
                <w:szCs w:val="20"/>
              </w:rPr>
              <w:t>(3) Method 2 or 19 of 40 CFR part 60.</w:t>
            </w:r>
          </w:p>
        </w:tc>
        <w:tc>
          <w:tcPr>
            <w:tcW w:w="0" w:type="auto"/>
          </w:tcPr>
          <w:p w:rsidR="00BF6EA4" w:rsidRPr="00BF6EA4" w:rsidRDefault="00BF6EA4" w:rsidP="00344C12">
            <w:pPr>
              <w:rPr>
                <w:sz w:val="20"/>
                <w:szCs w:val="20"/>
              </w:rPr>
            </w:pP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  </w:t>
            </w:r>
          </w:p>
        </w:tc>
        <w:tc>
          <w:tcPr>
            <w:tcW w:w="0" w:type="auto"/>
          </w:tcPr>
          <w:p w:rsidR="00BF6EA4" w:rsidRPr="00BF6EA4" w:rsidRDefault="00BF6EA4" w:rsidP="00344C12">
            <w:pPr>
              <w:rPr>
                <w:sz w:val="20"/>
                <w:szCs w:val="20"/>
              </w:rPr>
            </w:pPr>
            <w:r w:rsidRPr="00BF6EA4">
              <w:rPr>
                <w:sz w:val="20"/>
                <w:szCs w:val="20"/>
              </w:rPr>
              <w:t xml:space="preserve">iv. If necessary, measure moisture content of the stationary internal </w:t>
            </w:r>
            <w:r w:rsidRPr="00BF6EA4">
              <w:rPr>
                <w:sz w:val="20"/>
                <w:szCs w:val="20"/>
              </w:rPr>
              <w:lastRenderedPageBreak/>
              <w:t>combustion engine exhaust at the sampling port location; and</w:t>
            </w:r>
          </w:p>
        </w:tc>
        <w:tc>
          <w:tcPr>
            <w:tcW w:w="0" w:type="auto"/>
          </w:tcPr>
          <w:p w:rsidR="00BF6EA4" w:rsidRPr="00BF6EA4" w:rsidRDefault="00BF6EA4" w:rsidP="00344C12">
            <w:pPr>
              <w:rPr>
                <w:sz w:val="20"/>
                <w:szCs w:val="20"/>
              </w:rPr>
            </w:pPr>
            <w:r w:rsidRPr="00BF6EA4">
              <w:rPr>
                <w:sz w:val="20"/>
                <w:szCs w:val="20"/>
              </w:rPr>
              <w:lastRenderedPageBreak/>
              <w:t xml:space="preserve">(4) Method 4 of 40 CFR part 60, appendix A, Method 320 of 40 CFR part 63, appendix A, or ASTM D6348–03 </w:t>
            </w:r>
            <w:r w:rsidRPr="00BF6EA4">
              <w:rPr>
                <w:sz w:val="20"/>
                <w:szCs w:val="20"/>
              </w:rPr>
              <w:lastRenderedPageBreak/>
              <w:t>(incorporated by reference, see §60.17).</w:t>
            </w:r>
          </w:p>
        </w:tc>
        <w:tc>
          <w:tcPr>
            <w:tcW w:w="0" w:type="auto"/>
          </w:tcPr>
          <w:p w:rsidR="00BF6EA4" w:rsidRPr="00BF6EA4" w:rsidRDefault="00BF6EA4" w:rsidP="00344C12">
            <w:pPr>
              <w:rPr>
                <w:sz w:val="20"/>
                <w:szCs w:val="20"/>
              </w:rPr>
            </w:pPr>
            <w:r w:rsidRPr="00BF6EA4">
              <w:rPr>
                <w:sz w:val="20"/>
                <w:szCs w:val="20"/>
              </w:rPr>
              <w:lastRenderedPageBreak/>
              <w:t xml:space="preserve">(c) Measurements to determine moisture must be made at the same time as the </w:t>
            </w:r>
            <w:r w:rsidRPr="00BF6EA4">
              <w:rPr>
                <w:sz w:val="20"/>
                <w:szCs w:val="20"/>
              </w:rPr>
              <w:lastRenderedPageBreak/>
              <w:t>measurement for VOC concentration.</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lastRenderedPageBreak/>
              <w:t>  </w:t>
            </w:r>
          </w:p>
        </w:tc>
        <w:tc>
          <w:tcPr>
            <w:tcW w:w="0" w:type="auto"/>
          </w:tcPr>
          <w:p w:rsidR="00BF6EA4" w:rsidRPr="00BF6EA4" w:rsidRDefault="00BF6EA4" w:rsidP="00344C12">
            <w:pPr>
              <w:rPr>
                <w:sz w:val="20"/>
                <w:szCs w:val="20"/>
              </w:rPr>
            </w:pPr>
            <w:r w:rsidRPr="00BF6EA4">
              <w:rPr>
                <w:sz w:val="20"/>
                <w:szCs w:val="20"/>
              </w:rPr>
              <w:t>v. Measure VOC at the exhaust of the stationary internal combustion engine.</w:t>
            </w:r>
          </w:p>
        </w:tc>
        <w:tc>
          <w:tcPr>
            <w:tcW w:w="0" w:type="auto"/>
          </w:tcPr>
          <w:p w:rsidR="00BF6EA4" w:rsidRPr="00BF6EA4" w:rsidRDefault="00BF6EA4" w:rsidP="00344C12">
            <w:pPr>
              <w:rPr>
                <w:sz w:val="20"/>
                <w:szCs w:val="20"/>
              </w:rPr>
            </w:pPr>
            <w:r w:rsidRPr="00BF6EA4">
              <w:rPr>
                <w:sz w:val="20"/>
                <w:szCs w:val="20"/>
              </w:rPr>
              <w:t xml:space="preserve">(5) Methods 25A and 18 of 40 CFR part 60, appendix A, Method 25A with the use of a methane cutter as described in 40 CFR 1065.265, Method 18 or 40 CFR part 60, appendix </w:t>
            </w:r>
            <w:proofErr w:type="spellStart"/>
            <w:r w:rsidRPr="00BF6EA4">
              <w:rPr>
                <w:sz w:val="20"/>
                <w:szCs w:val="20"/>
              </w:rPr>
              <w:t>A,</w:t>
            </w:r>
            <w:r w:rsidRPr="00BF6EA4">
              <w:rPr>
                <w:sz w:val="20"/>
                <w:szCs w:val="20"/>
                <w:vertAlign w:val="superscript"/>
              </w:rPr>
              <w:t>cd</w:t>
            </w:r>
            <w:r w:rsidRPr="00BF6EA4">
              <w:rPr>
                <w:sz w:val="20"/>
                <w:szCs w:val="20"/>
              </w:rPr>
              <w:t>Method</w:t>
            </w:r>
            <w:proofErr w:type="spellEnd"/>
            <w:r w:rsidRPr="00BF6EA4">
              <w:rPr>
                <w:sz w:val="20"/>
                <w:szCs w:val="20"/>
              </w:rPr>
              <w:t xml:space="preserve"> 320 of 40 CFR part 63, appendix A, or ASTM D6348–03 (incorporated by reference, see §60.17).</w:t>
            </w:r>
          </w:p>
        </w:tc>
        <w:tc>
          <w:tcPr>
            <w:tcW w:w="0" w:type="auto"/>
          </w:tcPr>
          <w:p w:rsidR="00BF6EA4" w:rsidRPr="00BF6EA4" w:rsidRDefault="00BF6EA4" w:rsidP="00344C12">
            <w:pPr>
              <w:rPr>
                <w:sz w:val="20"/>
                <w:szCs w:val="20"/>
              </w:rPr>
            </w:pPr>
            <w:r w:rsidRPr="00BF6EA4">
              <w:rPr>
                <w:sz w:val="20"/>
                <w:szCs w:val="20"/>
              </w:rPr>
              <w:t>(d) Results of this test consist of the average of the three 1-hour or longer runs.</w:t>
            </w:r>
          </w:p>
        </w:tc>
        <w:tc>
          <w:tcPr>
            <w:tcW w:w="0" w:type="auto"/>
          </w:tcPr>
          <w:p w:rsidR="00BF6EA4" w:rsidRPr="00BF6EA4" w:rsidRDefault="00BF6EA4" w:rsidP="00344C12">
            <w:pPr>
              <w:rPr>
                <w:sz w:val="20"/>
                <w:szCs w:val="20"/>
              </w:rPr>
            </w:pPr>
          </w:p>
        </w:tc>
      </w:tr>
    </w:tbl>
    <w:p w:rsidR="00BF6EA4" w:rsidRPr="00BF6EA4" w:rsidRDefault="00BF6EA4" w:rsidP="00BF6EA4">
      <w:pPr>
        <w:pStyle w:val="tablenote"/>
        <w:spacing w:before="0" w:beforeAutospacing="0" w:after="120" w:afterAutospacing="0"/>
        <w:rPr>
          <w:sz w:val="20"/>
          <w:szCs w:val="20"/>
        </w:rPr>
      </w:pPr>
      <w:proofErr w:type="spellStart"/>
      <w:r w:rsidRPr="00BF6EA4">
        <w:rPr>
          <w:sz w:val="20"/>
          <w:szCs w:val="20"/>
          <w:vertAlign w:val="superscript"/>
        </w:rPr>
        <w:t>a</w:t>
      </w:r>
      <w:r w:rsidRPr="00BF6EA4">
        <w:rPr>
          <w:sz w:val="20"/>
          <w:szCs w:val="20"/>
        </w:rPr>
        <w:t>ASTM</w:t>
      </w:r>
      <w:proofErr w:type="spellEnd"/>
      <w:r w:rsidRPr="00BF6EA4">
        <w:rPr>
          <w:sz w:val="20"/>
          <w:szCs w:val="20"/>
        </w:rPr>
        <w:t xml:space="preserve"> D6522–00 is incorporated by reference; see 40 CFR 60.17. Also, you may petition the Administrator for approval to use alternative methods for portable analyzer.</w:t>
      </w:r>
    </w:p>
    <w:p w:rsidR="00BF6EA4" w:rsidRPr="00BF6EA4" w:rsidRDefault="00BF6EA4" w:rsidP="00BF6EA4">
      <w:pPr>
        <w:pStyle w:val="tablenote"/>
        <w:spacing w:before="0" w:beforeAutospacing="0" w:after="120" w:afterAutospacing="0"/>
        <w:rPr>
          <w:sz w:val="20"/>
          <w:szCs w:val="20"/>
        </w:rPr>
      </w:pPr>
      <w:proofErr w:type="spellStart"/>
      <w:r w:rsidRPr="00BF6EA4">
        <w:rPr>
          <w:sz w:val="20"/>
          <w:szCs w:val="20"/>
          <w:vertAlign w:val="superscript"/>
        </w:rPr>
        <w:t>b</w:t>
      </w:r>
      <w:r w:rsidRPr="00BF6EA4">
        <w:rPr>
          <w:sz w:val="20"/>
          <w:szCs w:val="20"/>
        </w:rPr>
        <w:t>You</w:t>
      </w:r>
      <w:proofErr w:type="spellEnd"/>
      <w:r w:rsidRPr="00BF6EA4">
        <w:rPr>
          <w:sz w:val="20"/>
          <w:szCs w:val="20"/>
        </w:rPr>
        <w:t xml:space="preserve"> may use ASME PTC 19.10–1981, Flue and Exhaust Gas Analyses, for measuring the O</w:t>
      </w:r>
      <w:r w:rsidRPr="00BF6EA4">
        <w:rPr>
          <w:sz w:val="20"/>
          <w:szCs w:val="20"/>
          <w:vertAlign w:val="subscript"/>
        </w:rPr>
        <w:t>2</w:t>
      </w:r>
      <w:r w:rsidRPr="00BF6EA4">
        <w:rPr>
          <w:sz w:val="20"/>
          <w:szCs w:val="20"/>
        </w:rPr>
        <w:t>content of the exhaust gas as an alternative to EPA Method 3B.</w:t>
      </w:r>
    </w:p>
    <w:p w:rsidR="00BF6EA4" w:rsidRPr="00BF6EA4" w:rsidRDefault="00BF6EA4" w:rsidP="00BF6EA4">
      <w:pPr>
        <w:pStyle w:val="tablenote"/>
        <w:spacing w:before="0" w:beforeAutospacing="0" w:after="120" w:afterAutospacing="0"/>
        <w:rPr>
          <w:sz w:val="20"/>
          <w:szCs w:val="20"/>
        </w:rPr>
      </w:pPr>
      <w:proofErr w:type="spellStart"/>
      <w:r w:rsidRPr="00BF6EA4">
        <w:rPr>
          <w:sz w:val="20"/>
          <w:szCs w:val="20"/>
          <w:vertAlign w:val="superscript"/>
        </w:rPr>
        <w:t>c</w:t>
      </w:r>
      <w:r w:rsidRPr="00BF6EA4">
        <w:rPr>
          <w:sz w:val="20"/>
          <w:szCs w:val="20"/>
        </w:rPr>
        <w:t>You</w:t>
      </w:r>
      <w:proofErr w:type="spellEnd"/>
      <w:r w:rsidRPr="00BF6EA4">
        <w:rPr>
          <w:sz w:val="20"/>
          <w:szCs w:val="20"/>
        </w:rPr>
        <w:t xml:space="preserve"> may use EPA Method 18 of 40 CFR part 60, appendix A, provided that you conduct an adequate </w:t>
      </w:r>
      <w:proofErr w:type="spellStart"/>
      <w:r w:rsidRPr="00BF6EA4">
        <w:rPr>
          <w:sz w:val="20"/>
          <w:szCs w:val="20"/>
        </w:rPr>
        <w:t>presurvey</w:t>
      </w:r>
      <w:proofErr w:type="spellEnd"/>
      <w:r w:rsidRPr="00BF6EA4">
        <w:rPr>
          <w:sz w:val="20"/>
          <w:szCs w:val="20"/>
        </w:rPr>
        <w:t xml:space="preserve"> test prior to the emissions test, such as the one described in OTM 11 on EPA's Web site ( </w:t>
      </w:r>
      <w:r w:rsidRPr="00BF6EA4">
        <w:rPr>
          <w:rStyle w:val="Emphasis"/>
          <w:sz w:val="20"/>
          <w:szCs w:val="20"/>
        </w:rPr>
        <w:t>http://www.epa.gov/ttn/emc/prelim/otm11.pdf</w:t>
      </w:r>
      <w:r w:rsidRPr="00BF6EA4">
        <w:rPr>
          <w:sz w:val="20"/>
          <w:szCs w:val="20"/>
        </w:rPr>
        <w:t xml:space="preserve"> ).</w:t>
      </w:r>
    </w:p>
    <w:p w:rsidR="00BF6EA4" w:rsidRPr="00BF6EA4" w:rsidRDefault="00BF6EA4" w:rsidP="00BF6EA4">
      <w:pPr>
        <w:pStyle w:val="tablenote"/>
        <w:spacing w:before="0" w:beforeAutospacing="0" w:after="120" w:afterAutospacing="0"/>
        <w:rPr>
          <w:sz w:val="20"/>
          <w:szCs w:val="20"/>
        </w:rPr>
      </w:pPr>
      <w:proofErr w:type="spellStart"/>
      <w:r w:rsidRPr="00BF6EA4">
        <w:rPr>
          <w:sz w:val="20"/>
          <w:szCs w:val="20"/>
          <w:vertAlign w:val="superscript"/>
        </w:rPr>
        <w:t>d</w:t>
      </w:r>
      <w:r w:rsidRPr="00BF6EA4">
        <w:rPr>
          <w:sz w:val="20"/>
          <w:szCs w:val="20"/>
        </w:rPr>
        <w:t>You</w:t>
      </w:r>
      <w:proofErr w:type="spellEnd"/>
      <w:r w:rsidRPr="00BF6EA4">
        <w:rPr>
          <w:sz w:val="20"/>
          <w:szCs w:val="20"/>
        </w:rPr>
        <w:t xml:space="preserve"> may use ASTM D6420–99 (2004), Test Method for Determination of Gaseous Organic Compounds by Direct Interface Gas Chromatography/Mass Spectrometry as an alternative to EPA Method 18 for measuring total </w:t>
      </w:r>
      <w:proofErr w:type="spellStart"/>
      <w:r w:rsidRPr="00BF6EA4">
        <w:rPr>
          <w:sz w:val="20"/>
          <w:szCs w:val="20"/>
        </w:rPr>
        <w:t>nonmethane</w:t>
      </w:r>
      <w:proofErr w:type="spellEnd"/>
      <w:r w:rsidRPr="00BF6EA4">
        <w:rPr>
          <w:sz w:val="20"/>
          <w:szCs w:val="20"/>
        </w:rPr>
        <w:t xml:space="preserve"> organic.</w:t>
      </w:r>
    </w:p>
    <w:p w:rsidR="00BF6EA4" w:rsidRPr="00BF6EA4" w:rsidRDefault="00BF6EA4" w:rsidP="00BF6EA4">
      <w:pPr>
        <w:pStyle w:val="Heading5"/>
        <w:spacing w:before="0" w:beforeAutospacing="0" w:after="120" w:afterAutospacing="0"/>
      </w:pPr>
      <w:r w:rsidRPr="00BF6EA4">
        <w:t>Table 3 to Subpart JJJJ of Part 60—Applicability of General Provisions to Subpart JJJJ</w:t>
      </w:r>
    </w:p>
    <w:p w:rsidR="00BF6EA4" w:rsidRPr="00BF6EA4" w:rsidRDefault="00BF6EA4" w:rsidP="00BF6EA4">
      <w:pPr>
        <w:pStyle w:val="tabledescription"/>
        <w:spacing w:before="0" w:beforeAutospacing="0" w:after="120" w:afterAutospacing="0"/>
        <w:rPr>
          <w:sz w:val="20"/>
          <w:szCs w:val="20"/>
        </w:rPr>
      </w:pPr>
      <w:r w:rsidRPr="00BF6EA4">
        <w:rPr>
          <w:sz w:val="20"/>
          <w:szCs w:val="20"/>
        </w:rPr>
        <w:t>[As stated in §60.4246,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insideH w:val="single" w:sz="6" w:space="0" w:color="000000"/>
          <w:insideV w:val="single" w:sz="6" w:space="0" w:color="000000"/>
        </w:tblBorders>
        <w:tblCellMar>
          <w:top w:w="43" w:type="dxa"/>
          <w:left w:w="72" w:type="dxa"/>
          <w:bottom w:w="43" w:type="dxa"/>
          <w:right w:w="72" w:type="dxa"/>
        </w:tblCellMar>
        <w:tblLook w:val="0000"/>
      </w:tblPr>
      <w:tblGrid>
        <w:gridCol w:w="1636"/>
        <w:gridCol w:w="2837"/>
        <w:gridCol w:w="1202"/>
        <w:gridCol w:w="4549"/>
      </w:tblGrid>
      <w:tr w:rsidR="00BF6EA4" w:rsidRPr="00BF6EA4" w:rsidTr="00344C12">
        <w:trPr>
          <w:tblHeader/>
        </w:trPr>
        <w:tc>
          <w:tcPr>
            <w:tcW w:w="0" w:type="auto"/>
            <w:vAlign w:val="bottom"/>
          </w:tcPr>
          <w:p w:rsidR="00BF6EA4" w:rsidRPr="00BF6EA4" w:rsidRDefault="00BF6EA4" w:rsidP="00344C12">
            <w:pPr>
              <w:jc w:val="center"/>
              <w:rPr>
                <w:b/>
                <w:bCs/>
                <w:sz w:val="20"/>
                <w:szCs w:val="20"/>
              </w:rPr>
            </w:pPr>
            <w:r w:rsidRPr="00BF6EA4">
              <w:rPr>
                <w:b/>
                <w:bCs/>
                <w:sz w:val="20"/>
                <w:szCs w:val="20"/>
              </w:rPr>
              <w:t>General provisions citation</w:t>
            </w:r>
          </w:p>
        </w:tc>
        <w:tc>
          <w:tcPr>
            <w:tcW w:w="0" w:type="auto"/>
            <w:vAlign w:val="bottom"/>
          </w:tcPr>
          <w:p w:rsidR="00BF6EA4" w:rsidRPr="00BF6EA4" w:rsidRDefault="00BF6EA4" w:rsidP="00344C12">
            <w:pPr>
              <w:jc w:val="center"/>
              <w:rPr>
                <w:b/>
                <w:bCs/>
                <w:sz w:val="20"/>
                <w:szCs w:val="20"/>
              </w:rPr>
            </w:pPr>
            <w:r w:rsidRPr="00BF6EA4">
              <w:rPr>
                <w:b/>
                <w:bCs/>
                <w:sz w:val="20"/>
                <w:szCs w:val="20"/>
              </w:rPr>
              <w:t>Subject of citation</w:t>
            </w:r>
          </w:p>
        </w:tc>
        <w:tc>
          <w:tcPr>
            <w:tcW w:w="0" w:type="auto"/>
            <w:vAlign w:val="bottom"/>
          </w:tcPr>
          <w:p w:rsidR="00BF6EA4" w:rsidRPr="00BF6EA4" w:rsidRDefault="00BF6EA4" w:rsidP="00344C12">
            <w:pPr>
              <w:jc w:val="center"/>
              <w:rPr>
                <w:b/>
                <w:bCs/>
                <w:sz w:val="20"/>
                <w:szCs w:val="20"/>
              </w:rPr>
            </w:pPr>
            <w:r w:rsidRPr="00BF6EA4">
              <w:rPr>
                <w:b/>
                <w:bCs/>
                <w:sz w:val="20"/>
                <w:szCs w:val="20"/>
              </w:rPr>
              <w:t>Applies to subpart</w:t>
            </w:r>
          </w:p>
        </w:tc>
        <w:tc>
          <w:tcPr>
            <w:tcW w:w="0" w:type="auto"/>
            <w:vAlign w:val="bottom"/>
          </w:tcPr>
          <w:p w:rsidR="00BF6EA4" w:rsidRPr="00BF6EA4" w:rsidRDefault="00BF6EA4" w:rsidP="00344C12">
            <w:pPr>
              <w:jc w:val="center"/>
              <w:rPr>
                <w:b/>
                <w:bCs/>
                <w:sz w:val="20"/>
                <w:szCs w:val="20"/>
              </w:rPr>
            </w:pPr>
            <w:r w:rsidRPr="00BF6EA4">
              <w:rPr>
                <w:b/>
                <w:bCs/>
                <w:sz w:val="20"/>
                <w:szCs w:val="20"/>
              </w:rPr>
              <w:t>Explanation</w:t>
            </w: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§60.1</w:t>
            </w:r>
          </w:p>
        </w:tc>
        <w:tc>
          <w:tcPr>
            <w:tcW w:w="0" w:type="auto"/>
          </w:tcPr>
          <w:p w:rsidR="00BF6EA4" w:rsidRPr="00BF6EA4" w:rsidRDefault="00BF6EA4" w:rsidP="00344C12">
            <w:pPr>
              <w:rPr>
                <w:sz w:val="20"/>
                <w:szCs w:val="20"/>
              </w:rPr>
            </w:pPr>
            <w:r w:rsidRPr="00BF6EA4">
              <w:rPr>
                <w:sz w:val="20"/>
                <w:szCs w:val="20"/>
              </w:rPr>
              <w:t>General applicability of the General Provisions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§60.2</w:t>
            </w:r>
          </w:p>
        </w:tc>
        <w:tc>
          <w:tcPr>
            <w:tcW w:w="0" w:type="auto"/>
          </w:tcPr>
          <w:p w:rsidR="00BF6EA4" w:rsidRPr="00BF6EA4" w:rsidRDefault="00BF6EA4" w:rsidP="00344C12">
            <w:pPr>
              <w:rPr>
                <w:sz w:val="20"/>
                <w:szCs w:val="20"/>
              </w:rPr>
            </w:pPr>
            <w:r w:rsidRPr="00BF6EA4">
              <w:rPr>
                <w:sz w:val="20"/>
                <w:szCs w:val="20"/>
              </w:rPr>
              <w:t>Definitions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r w:rsidRPr="00BF6EA4">
              <w:rPr>
                <w:sz w:val="20"/>
                <w:szCs w:val="20"/>
              </w:rPr>
              <w:t>Additional terms defined in §60.4248.</w:t>
            </w: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§60.3</w:t>
            </w:r>
          </w:p>
        </w:tc>
        <w:tc>
          <w:tcPr>
            <w:tcW w:w="0" w:type="auto"/>
          </w:tcPr>
          <w:p w:rsidR="00BF6EA4" w:rsidRPr="00BF6EA4" w:rsidRDefault="00BF6EA4" w:rsidP="00344C12">
            <w:pPr>
              <w:rPr>
                <w:sz w:val="20"/>
                <w:szCs w:val="20"/>
              </w:rPr>
            </w:pPr>
            <w:r w:rsidRPr="00BF6EA4">
              <w:rPr>
                <w:sz w:val="20"/>
                <w:szCs w:val="20"/>
              </w:rPr>
              <w:t>Units and abbreviations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lastRenderedPageBreak/>
              <w:t>§60.4</w:t>
            </w:r>
          </w:p>
        </w:tc>
        <w:tc>
          <w:tcPr>
            <w:tcW w:w="0" w:type="auto"/>
          </w:tcPr>
          <w:p w:rsidR="00BF6EA4" w:rsidRPr="00BF6EA4" w:rsidRDefault="00BF6EA4" w:rsidP="00344C12">
            <w:pPr>
              <w:rPr>
                <w:sz w:val="20"/>
                <w:szCs w:val="20"/>
              </w:rPr>
            </w:pPr>
            <w:r w:rsidRPr="00BF6EA4">
              <w:rPr>
                <w:sz w:val="20"/>
                <w:szCs w:val="20"/>
              </w:rPr>
              <w:t>Address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§60.5</w:t>
            </w:r>
          </w:p>
        </w:tc>
        <w:tc>
          <w:tcPr>
            <w:tcW w:w="0" w:type="auto"/>
          </w:tcPr>
          <w:p w:rsidR="00BF6EA4" w:rsidRPr="00BF6EA4" w:rsidRDefault="00BF6EA4" w:rsidP="00344C12">
            <w:pPr>
              <w:rPr>
                <w:sz w:val="20"/>
                <w:szCs w:val="20"/>
              </w:rPr>
            </w:pPr>
            <w:r w:rsidRPr="00BF6EA4">
              <w:rPr>
                <w:sz w:val="20"/>
                <w:szCs w:val="20"/>
              </w:rPr>
              <w:t>Determination of construction or modification</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§60.6</w:t>
            </w:r>
          </w:p>
        </w:tc>
        <w:tc>
          <w:tcPr>
            <w:tcW w:w="0" w:type="auto"/>
          </w:tcPr>
          <w:p w:rsidR="00BF6EA4" w:rsidRPr="00BF6EA4" w:rsidRDefault="00BF6EA4" w:rsidP="00344C12">
            <w:pPr>
              <w:rPr>
                <w:sz w:val="20"/>
                <w:szCs w:val="20"/>
              </w:rPr>
            </w:pPr>
            <w:r w:rsidRPr="00BF6EA4">
              <w:rPr>
                <w:sz w:val="20"/>
                <w:szCs w:val="20"/>
              </w:rPr>
              <w:t>Review of plans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§60.7</w:t>
            </w:r>
          </w:p>
        </w:tc>
        <w:tc>
          <w:tcPr>
            <w:tcW w:w="0" w:type="auto"/>
          </w:tcPr>
          <w:p w:rsidR="00BF6EA4" w:rsidRPr="00BF6EA4" w:rsidRDefault="00BF6EA4" w:rsidP="00344C12">
            <w:pPr>
              <w:rPr>
                <w:sz w:val="20"/>
                <w:szCs w:val="20"/>
              </w:rPr>
            </w:pPr>
            <w:r w:rsidRPr="00BF6EA4">
              <w:rPr>
                <w:sz w:val="20"/>
                <w:szCs w:val="20"/>
              </w:rPr>
              <w:t>Notification and Recordkeeping</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r w:rsidRPr="00BF6EA4">
              <w:rPr>
                <w:sz w:val="20"/>
                <w:szCs w:val="20"/>
              </w:rPr>
              <w:t>Except that §60.7 only applies as specified in §60.4245.</w:t>
            </w:r>
          </w:p>
        </w:tc>
      </w:tr>
      <w:tr w:rsidR="00BF6EA4" w:rsidRPr="00BF6EA4" w:rsidTr="00344C12">
        <w:tc>
          <w:tcPr>
            <w:tcW w:w="0" w:type="auto"/>
          </w:tcPr>
          <w:p w:rsidR="00BF6EA4" w:rsidRPr="00BF6EA4" w:rsidRDefault="00BF6EA4" w:rsidP="00344C12">
            <w:pPr>
              <w:rPr>
                <w:sz w:val="20"/>
                <w:szCs w:val="20"/>
              </w:rPr>
            </w:pPr>
            <w:r w:rsidRPr="00BF6EA4">
              <w:rPr>
                <w:sz w:val="20"/>
                <w:szCs w:val="20"/>
              </w:rPr>
              <w:t>§60.8</w:t>
            </w:r>
          </w:p>
        </w:tc>
        <w:tc>
          <w:tcPr>
            <w:tcW w:w="0" w:type="auto"/>
          </w:tcPr>
          <w:p w:rsidR="00BF6EA4" w:rsidRPr="00BF6EA4" w:rsidRDefault="00BF6EA4" w:rsidP="00344C12">
            <w:pPr>
              <w:rPr>
                <w:sz w:val="20"/>
                <w:szCs w:val="20"/>
              </w:rPr>
            </w:pPr>
            <w:r w:rsidRPr="00BF6EA4">
              <w:rPr>
                <w:sz w:val="20"/>
                <w:szCs w:val="20"/>
              </w:rPr>
              <w:t>Performance tests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r w:rsidRPr="00BF6EA4">
              <w:rPr>
                <w:sz w:val="20"/>
                <w:szCs w:val="20"/>
              </w:rPr>
              <w:t>Except that §60.8 only applies to owners and operators who are subject to performance testing in subpart JJJJ.</w:t>
            </w:r>
          </w:p>
        </w:tc>
      </w:tr>
      <w:tr w:rsidR="00BF6EA4" w:rsidRPr="00BF6EA4" w:rsidTr="00344C12">
        <w:tc>
          <w:tcPr>
            <w:tcW w:w="0" w:type="auto"/>
          </w:tcPr>
          <w:p w:rsidR="00BF6EA4" w:rsidRPr="00BF6EA4" w:rsidRDefault="00BF6EA4" w:rsidP="00344C12">
            <w:pPr>
              <w:rPr>
                <w:sz w:val="20"/>
                <w:szCs w:val="20"/>
              </w:rPr>
            </w:pPr>
            <w:r w:rsidRPr="00BF6EA4">
              <w:rPr>
                <w:sz w:val="20"/>
                <w:szCs w:val="20"/>
              </w:rPr>
              <w:t>§60.9</w:t>
            </w:r>
          </w:p>
        </w:tc>
        <w:tc>
          <w:tcPr>
            <w:tcW w:w="0" w:type="auto"/>
          </w:tcPr>
          <w:p w:rsidR="00BF6EA4" w:rsidRPr="00BF6EA4" w:rsidRDefault="00BF6EA4" w:rsidP="00344C12">
            <w:pPr>
              <w:rPr>
                <w:sz w:val="20"/>
                <w:szCs w:val="20"/>
              </w:rPr>
            </w:pPr>
            <w:r w:rsidRPr="00BF6EA4">
              <w:rPr>
                <w:sz w:val="20"/>
                <w:szCs w:val="20"/>
              </w:rPr>
              <w:t>Availability of information</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§60.10</w:t>
            </w:r>
          </w:p>
        </w:tc>
        <w:tc>
          <w:tcPr>
            <w:tcW w:w="0" w:type="auto"/>
          </w:tcPr>
          <w:p w:rsidR="00BF6EA4" w:rsidRPr="00BF6EA4" w:rsidRDefault="00BF6EA4" w:rsidP="00344C12">
            <w:pPr>
              <w:rPr>
                <w:sz w:val="20"/>
                <w:szCs w:val="20"/>
              </w:rPr>
            </w:pPr>
            <w:r w:rsidRPr="00BF6EA4">
              <w:rPr>
                <w:sz w:val="20"/>
                <w:szCs w:val="20"/>
              </w:rPr>
              <w:t>State Authority</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§60.11</w:t>
            </w:r>
          </w:p>
        </w:tc>
        <w:tc>
          <w:tcPr>
            <w:tcW w:w="0" w:type="auto"/>
          </w:tcPr>
          <w:p w:rsidR="00BF6EA4" w:rsidRPr="00BF6EA4" w:rsidRDefault="00BF6EA4" w:rsidP="00344C12">
            <w:pPr>
              <w:rPr>
                <w:sz w:val="20"/>
                <w:szCs w:val="20"/>
              </w:rPr>
            </w:pPr>
            <w:r w:rsidRPr="00BF6EA4">
              <w:rPr>
                <w:sz w:val="20"/>
                <w:szCs w:val="20"/>
              </w:rPr>
              <w:t>Compliance with standards and maintenance requirements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r w:rsidRPr="00BF6EA4">
              <w:rPr>
                <w:sz w:val="20"/>
                <w:szCs w:val="20"/>
              </w:rPr>
              <w:t>Requirements are specified in subpart JJJJ.</w:t>
            </w:r>
          </w:p>
        </w:tc>
      </w:tr>
      <w:tr w:rsidR="00BF6EA4" w:rsidRPr="00BF6EA4" w:rsidTr="00344C12">
        <w:tc>
          <w:tcPr>
            <w:tcW w:w="0" w:type="auto"/>
          </w:tcPr>
          <w:p w:rsidR="00BF6EA4" w:rsidRPr="00BF6EA4" w:rsidRDefault="00BF6EA4" w:rsidP="00344C12">
            <w:pPr>
              <w:rPr>
                <w:sz w:val="20"/>
                <w:szCs w:val="20"/>
              </w:rPr>
            </w:pPr>
            <w:r w:rsidRPr="00BF6EA4">
              <w:rPr>
                <w:sz w:val="20"/>
                <w:szCs w:val="20"/>
              </w:rPr>
              <w:t>§60.12</w:t>
            </w:r>
          </w:p>
        </w:tc>
        <w:tc>
          <w:tcPr>
            <w:tcW w:w="0" w:type="auto"/>
          </w:tcPr>
          <w:p w:rsidR="00BF6EA4" w:rsidRPr="00BF6EA4" w:rsidRDefault="00BF6EA4" w:rsidP="00344C12">
            <w:pPr>
              <w:rPr>
                <w:sz w:val="20"/>
                <w:szCs w:val="20"/>
              </w:rPr>
            </w:pPr>
            <w:r w:rsidRPr="00BF6EA4">
              <w:rPr>
                <w:sz w:val="20"/>
                <w:szCs w:val="20"/>
              </w:rPr>
              <w:t>Circumvention</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§60.13</w:t>
            </w:r>
          </w:p>
        </w:tc>
        <w:tc>
          <w:tcPr>
            <w:tcW w:w="0" w:type="auto"/>
          </w:tcPr>
          <w:p w:rsidR="00BF6EA4" w:rsidRPr="00BF6EA4" w:rsidRDefault="00BF6EA4" w:rsidP="00344C12">
            <w:pPr>
              <w:rPr>
                <w:sz w:val="20"/>
                <w:szCs w:val="20"/>
              </w:rPr>
            </w:pPr>
            <w:r w:rsidRPr="00BF6EA4">
              <w:rPr>
                <w:sz w:val="20"/>
                <w:szCs w:val="20"/>
              </w:rPr>
              <w:t>Monitoring requirements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§60.14</w:t>
            </w:r>
          </w:p>
        </w:tc>
        <w:tc>
          <w:tcPr>
            <w:tcW w:w="0" w:type="auto"/>
          </w:tcPr>
          <w:p w:rsidR="00BF6EA4" w:rsidRPr="00BF6EA4" w:rsidRDefault="00BF6EA4" w:rsidP="00344C12">
            <w:pPr>
              <w:rPr>
                <w:sz w:val="20"/>
                <w:szCs w:val="20"/>
              </w:rPr>
            </w:pPr>
            <w:r w:rsidRPr="00BF6EA4">
              <w:rPr>
                <w:sz w:val="20"/>
                <w:szCs w:val="20"/>
              </w:rPr>
              <w:t>Modification</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§60.15</w:t>
            </w:r>
          </w:p>
        </w:tc>
        <w:tc>
          <w:tcPr>
            <w:tcW w:w="0" w:type="auto"/>
          </w:tcPr>
          <w:p w:rsidR="00BF6EA4" w:rsidRPr="00BF6EA4" w:rsidRDefault="00BF6EA4" w:rsidP="00344C12">
            <w:pPr>
              <w:rPr>
                <w:sz w:val="20"/>
                <w:szCs w:val="20"/>
              </w:rPr>
            </w:pPr>
            <w:r w:rsidRPr="00BF6EA4">
              <w:rPr>
                <w:sz w:val="20"/>
                <w:szCs w:val="20"/>
              </w:rPr>
              <w:t>Reconstruction</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§60.16</w:t>
            </w:r>
          </w:p>
        </w:tc>
        <w:tc>
          <w:tcPr>
            <w:tcW w:w="0" w:type="auto"/>
          </w:tcPr>
          <w:p w:rsidR="00BF6EA4" w:rsidRPr="00BF6EA4" w:rsidRDefault="00BF6EA4" w:rsidP="00344C12">
            <w:pPr>
              <w:rPr>
                <w:sz w:val="20"/>
                <w:szCs w:val="20"/>
              </w:rPr>
            </w:pPr>
            <w:r w:rsidRPr="00BF6EA4">
              <w:rPr>
                <w:sz w:val="20"/>
                <w:szCs w:val="20"/>
              </w:rPr>
              <w:t>Priority list</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§60.17</w:t>
            </w:r>
          </w:p>
        </w:tc>
        <w:tc>
          <w:tcPr>
            <w:tcW w:w="0" w:type="auto"/>
          </w:tcPr>
          <w:p w:rsidR="00BF6EA4" w:rsidRPr="00BF6EA4" w:rsidRDefault="00BF6EA4" w:rsidP="00344C12">
            <w:pPr>
              <w:rPr>
                <w:sz w:val="20"/>
                <w:szCs w:val="20"/>
              </w:rPr>
            </w:pPr>
            <w:r w:rsidRPr="00BF6EA4">
              <w:rPr>
                <w:sz w:val="20"/>
                <w:szCs w:val="20"/>
              </w:rPr>
              <w:t>Incorporations by reference</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§60.18</w:t>
            </w:r>
          </w:p>
        </w:tc>
        <w:tc>
          <w:tcPr>
            <w:tcW w:w="0" w:type="auto"/>
          </w:tcPr>
          <w:p w:rsidR="00BF6EA4" w:rsidRPr="00BF6EA4" w:rsidRDefault="00BF6EA4" w:rsidP="00344C12">
            <w:pPr>
              <w:rPr>
                <w:sz w:val="20"/>
                <w:szCs w:val="20"/>
              </w:rPr>
            </w:pPr>
            <w:r w:rsidRPr="00BF6EA4">
              <w:rPr>
                <w:sz w:val="20"/>
                <w:szCs w:val="20"/>
              </w:rPr>
              <w:t>General control device requirements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§60.19</w:t>
            </w:r>
          </w:p>
        </w:tc>
        <w:tc>
          <w:tcPr>
            <w:tcW w:w="0" w:type="auto"/>
          </w:tcPr>
          <w:p w:rsidR="00BF6EA4" w:rsidRPr="00BF6EA4" w:rsidRDefault="00BF6EA4" w:rsidP="00344C12">
            <w:pPr>
              <w:rPr>
                <w:sz w:val="20"/>
                <w:szCs w:val="20"/>
              </w:rPr>
            </w:pPr>
            <w:r w:rsidRPr="00BF6EA4">
              <w:rPr>
                <w:sz w:val="20"/>
                <w:szCs w:val="20"/>
              </w:rPr>
              <w:t>General notification and reporting requirements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bl>
    <w:p w:rsidR="00BF6EA4" w:rsidRPr="00BF6EA4" w:rsidRDefault="00BF6EA4" w:rsidP="00BF6EA4">
      <w:pPr>
        <w:pStyle w:val="Heading5"/>
        <w:spacing w:before="120" w:beforeAutospacing="0" w:after="120" w:afterAutospacing="0"/>
      </w:pPr>
      <w:r w:rsidRPr="00BF6EA4">
        <w:t>Table 4 to Subpart JJJJ of Part 60—Applicability of Mobile Source Provisions for Manufacturers Participating in the Voluntary Certification Program and Certifying Stationary SI ICE to Emission Standards in Table 1 of Subpart JJJJ</w:t>
      </w:r>
    </w:p>
    <w:p w:rsidR="00BF6EA4" w:rsidRPr="00BF6EA4" w:rsidRDefault="00BF6EA4" w:rsidP="00BF6EA4">
      <w:pPr>
        <w:pStyle w:val="tabledescription"/>
        <w:spacing w:before="0" w:beforeAutospacing="0" w:after="120" w:afterAutospacing="0"/>
        <w:jc w:val="left"/>
        <w:rPr>
          <w:sz w:val="20"/>
          <w:szCs w:val="20"/>
        </w:rPr>
      </w:pPr>
      <w:r w:rsidRPr="00BF6EA4">
        <w:rPr>
          <w:sz w:val="20"/>
          <w:szCs w:val="20"/>
        </w:rPr>
        <w:t>[As stated in §60.4247, you must comply with the following applicable mobile source provisions if you are a manufacturer participating in the voluntary certification program and certifying stationary SI ICE to emission standards in Table 1 of subpart JJJJ]</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301"/>
        <w:gridCol w:w="4395"/>
        <w:gridCol w:w="1283"/>
        <w:gridCol w:w="2245"/>
      </w:tblGrid>
      <w:tr w:rsidR="00BF6EA4" w:rsidRPr="00BF6EA4" w:rsidTr="00344C12">
        <w:trPr>
          <w:tblHeader/>
        </w:trPr>
        <w:tc>
          <w:tcPr>
            <w:tcW w:w="0" w:type="auto"/>
            <w:vAlign w:val="bottom"/>
          </w:tcPr>
          <w:p w:rsidR="00BF6EA4" w:rsidRPr="00BF6EA4" w:rsidRDefault="00BF6EA4" w:rsidP="00344C12">
            <w:pPr>
              <w:jc w:val="center"/>
              <w:rPr>
                <w:b/>
                <w:bCs/>
                <w:sz w:val="20"/>
                <w:szCs w:val="20"/>
              </w:rPr>
            </w:pPr>
            <w:r w:rsidRPr="00BF6EA4">
              <w:rPr>
                <w:b/>
                <w:bCs/>
                <w:sz w:val="20"/>
                <w:szCs w:val="20"/>
              </w:rPr>
              <w:t>Mobile source provisions citation</w:t>
            </w:r>
          </w:p>
        </w:tc>
        <w:tc>
          <w:tcPr>
            <w:tcW w:w="0" w:type="auto"/>
            <w:vAlign w:val="bottom"/>
          </w:tcPr>
          <w:p w:rsidR="00BF6EA4" w:rsidRPr="00BF6EA4" w:rsidRDefault="00BF6EA4" w:rsidP="00344C12">
            <w:pPr>
              <w:jc w:val="center"/>
              <w:rPr>
                <w:b/>
                <w:bCs/>
                <w:sz w:val="20"/>
                <w:szCs w:val="20"/>
              </w:rPr>
            </w:pPr>
            <w:r w:rsidRPr="00BF6EA4">
              <w:rPr>
                <w:b/>
                <w:bCs/>
                <w:sz w:val="20"/>
                <w:szCs w:val="20"/>
              </w:rPr>
              <w:t>Subject of citation</w:t>
            </w:r>
          </w:p>
        </w:tc>
        <w:tc>
          <w:tcPr>
            <w:tcW w:w="0" w:type="auto"/>
            <w:vAlign w:val="bottom"/>
          </w:tcPr>
          <w:p w:rsidR="00BF6EA4" w:rsidRPr="00BF6EA4" w:rsidRDefault="00BF6EA4" w:rsidP="00344C12">
            <w:pPr>
              <w:jc w:val="center"/>
              <w:rPr>
                <w:b/>
                <w:bCs/>
                <w:sz w:val="20"/>
                <w:szCs w:val="20"/>
              </w:rPr>
            </w:pPr>
            <w:r w:rsidRPr="00BF6EA4">
              <w:rPr>
                <w:b/>
                <w:bCs/>
                <w:sz w:val="20"/>
                <w:szCs w:val="20"/>
              </w:rPr>
              <w:t>Applies to subpart</w:t>
            </w:r>
          </w:p>
        </w:tc>
        <w:tc>
          <w:tcPr>
            <w:tcW w:w="0" w:type="auto"/>
            <w:vAlign w:val="bottom"/>
          </w:tcPr>
          <w:p w:rsidR="00BF6EA4" w:rsidRPr="00BF6EA4" w:rsidRDefault="00BF6EA4" w:rsidP="00344C12">
            <w:pPr>
              <w:jc w:val="center"/>
              <w:rPr>
                <w:b/>
                <w:bCs/>
                <w:sz w:val="20"/>
                <w:szCs w:val="20"/>
              </w:rPr>
            </w:pPr>
            <w:r w:rsidRPr="00BF6EA4">
              <w:rPr>
                <w:b/>
                <w:bCs/>
                <w:sz w:val="20"/>
                <w:szCs w:val="20"/>
              </w:rPr>
              <w:t>Explanation</w:t>
            </w: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1048 subpart A</w:t>
            </w:r>
          </w:p>
        </w:tc>
        <w:tc>
          <w:tcPr>
            <w:tcW w:w="0" w:type="auto"/>
          </w:tcPr>
          <w:p w:rsidR="00BF6EA4" w:rsidRPr="00BF6EA4" w:rsidRDefault="00BF6EA4" w:rsidP="00344C12">
            <w:pPr>
              <w:rPr>
                <w:sz w:val="20"/>
                <w:szCs w:val="20"/>
              </w:rPr>
            </w:pPr>
            <w:r w:rsidRPr="00BF6EA4">
              <w:rPr>
                <w:sz w:val="20"/>
                <w:szCs w:val="20"/>
              </w:rPr>
              <w:t>Overview and Applicability</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1048 subpart B</w:t>
            </w:r>
          </w:p>
        </w:tc>
        <w:tc>
          <w:tcPr>
            <w:tcW w:w="0" w:type="auto"/>
          </w:tcPr>
          <w:p w:rsidR="00BF6EA4" w:rsidRPr="00BF6EA4" w:rsidRDefault="00BF6EA4" w:rsidP="00344C12">
            <w:pPr>
              <w:rPr>
                <w:sz w:val="20"/>
                <w:szCs w:val="20"/>
              </w:rPr>
            </w:pPr>
            <w:r w:rsidRPr="00BF6EA4">
              <w:rPr>
                <w:sz w:val="20"/>
                <w:szCs w:val="20"/>
              </w:rPr>
              <w:t>Emission Standards and Related Requirements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r w:rsidRPr="00BF6EA4">
              <w:rPr>
                <w:sz w:val="20"/>
                <w:szCs w:val="20"/>
              </w:rPr>
              <w:t>Except for the specific sections below.</w:t>
            </w: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1048.101</w:t>
            </w:r>
          </w:p>
        </w:tc>
        <w:tc>
          <w:tcPr>
            <w:tcW w:w="0" w:type="auto"/>
          </w:tcPr>
          <w:p w:rsidR="00BF6EA4" w:rsidRPr="00BF6EA4" w:rsidRDefault="00BF6EA4" w:rsidP="00344C12">
            <w:pPr>
              <w:rPr>
                <w:sz w:val="20"/>
                <w:szCs w:val="20"/>
              </w:rPr>
            </w:pPr>
            <w:r w:rsidRPr="00BF6EA4">
              <w:rPr>
                <w:sz w:val="20"/>
                <w:szCs w:val="20"/>
              </w:rPr>
              <w:t>Exhaust Emission Standards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1048.105</w:t>
            </w:r>
          </w:p>
        </w:tc>
        <w:tc>
          <w:tcPr>
            <w:tcW w:w="0" w:type="auto"/>
          </w:tcPr>
          <w:p w:rsidR="00BF6EA4" w:rsidRPr="00BF6EA4" w:rsidRDefault="00BF6EA4" w:rsidP="00344C12">
            <w:pPr>
              <w:rPr>
                <w:sz w:val="20"/>
                <w:szCs w:val="20"/>
              </w:rPr>
            </w:pPr>
            <w:r w:rsidRPr="00BF6EA4">
              <w:rPr>
                <w:sz w:val="20"/>
                <w:szCs w:val="20"/>
              </w:rPr>
              <w:t>Evaporative Emission Standards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1048.110</w:t>
            </w:r>
          </w:p>
        </w:tc>
        <w:tc>
          <w:tcPr>
            <w:tcW w:w="0" w:type="auto"/>
          </w:tcPr>
          <w:p w:rsidR="00BF6EA4" w:rsidRPr="00BF6EA4" w:rsidRDefault="00BF6EA4" w:rsidP="00344C12">
            <w:pPr>
              <w:rPr>
                <w:sz w:val="20"/>
                <w:szCs w:val="20"/>
              </w:rPr>
            </w:pPr>
            <w:r w:rsidRPr="00BF6EA4">
              <w:rPr>
                <w:sz w:val="20"/>
                <w:szCs w:val="20"/>
              </w:rPr>
              <w:t>Diagnosing Malfunctions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lastRenderedPageBreak/>
              <w:t>1048.140</w:t>
            </w:r>
          </w:p>
        </w:tc>
        <w:tc>
          <w:tcPr>
            <w:tcW w:w="0" w:type="auto"/>
          </w:tcPr>
          <w:p w:rsidR="00BF6EA4" w:rsidRPr="00BF6EA4" w:rsidRDefault="00BF6EA4" w:rsidP="00344C12">
            <w:pPr>
              <w:rPr>
                <w:sz w:val="20"/>
                <w:szCs w:val="20"/>
              </w:rPr>
            </w:pPr>
            <w:r w:rsidRPr="00BF6EA4">
              <w:rPr>
                <w:sz w:val="20"/>
                <w:szCs w:val="20"/>
              </w:rPr>
              <w:t>Certifying Blue Sky Series Engines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1048.145</w:t>
            </w:r>
          </w:p>
        </w:tc>
        <w:tc>
          <w:tcPr>
            <w:tcW w:w="0" w:type="auto"/>
          </w:tcPr>
          <w:p w:rsidR="00BF6EA4" w:rsidRPr="00BF6EA4" w:rsidRDefault="00BF6EA4" w:rsidP="00344C12">
            <w:pPr>
              <w:rPr>
                <w:sz w:val="20"/>
                <w:szCs w:val="20"/>
              </w:rPr>
            </w:pPr>
            <w:r w:rsidRPr="00BF6EA4">
              <w:rPr>
                <w:sz w:val="20"/>
                <w:szCs w:val="20"/>
              </w:rPr>
              <w:t>Interim Provisions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1048 subpart C</w:t>
            </w:r>
          </w:p>
        </w:tc>
        <w:tc>
          <w:tcPr>
            <w:tcW w:w="0" w:type="auto"/>
          </w:tcPr>
          <w:p w:rsidR="00BF6EA4" w:rsidRPr="00BF6EA4" w:rsidRDefault="00BF6EA4" w:rsidP="00344C12">
            <w:pPr>
              <w:rPr>
                <w:sz w:val="20"/>
                <w:szCs w:val="20"/>
              </w:rPr>
            </w:pPr>
            <w:r w:rsidRPr="00BF6EA4">
              <w:rPr>
                <w:sz w:val="20"/>
                <w:szCs w:val="20"/>
              </w:rPr>
              <w:t>Certifying Engine Families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r w:rsidRPr="00BF6EA4">
              <w:rPr>
                <w:sz w:val="20"/>
                <w:szCs w:val="20"/>
              </w:rPr>
              <w:t>Except for the specific sections below.</w:t>
            </w: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1048.205(b)</w:t>
            </w:r>
          </w:p>
        </w:tc>
        <w:tc>
          <w:tcPr>
            <w:tcW w:w="0" w:type="auto"/>
          </w:tcPr>
          <w:p w:rsidR="00BF6EA4" w:rsidRPr="00BF6EA4" w:rsidRDefault="00BF6EA4" w:rsidP="00344C12">
            <w:pPr>
              <w:rPr>
                <w:sz w:val="20"/>
                <w:szCs w:val="20"/>
              </w:rPr>
            </w:pPr>
            <w:r w:rsidRPr="00BF6EA4">
              <w:rPr>
                <w:sz w:val="20"/>
                <w:szCs w:val="20"/>
              </w:rPr>
              <w:t>AECD reporting</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rPr>
          <w:tblHeader/>
        </w:trPr>
        <w:tc>
          <w:tcPr>
            <w:tcW w:w="0" w:type="auto"/>
          </w:tcPr>
          <w:p w:rsidR="00BF6EA4" w:rsidRPr="00BF6EA4" w:rsidRDefault="00BF6EA4" w:rsidP="00344C12">
            <w:pPr>
              <w:rPr>
                <w:sz w:val="20"/>
                <w:szCs w:val="20"/>
              </w:rPr>
            </w:pPr>
            <w:r w:rsidRPr="00BF6EA4">
              <w:rPr>
                <w:sz w:val="20"/>
                <w:szCs w:val="20"/>
              </w:rPr>
              <w:t>1048.205(c)</w:t>
            </w:r>
          </w:p>
        </w:tc>
        <w:tc>
          <w:tcPr>
            <w:tcW w:w="0" w:type="auto"/>
          </w:tcPr>
          <w:p w:rsidR="00BF6EA4" w:rsidRPr="00BF6EA4" w:rsidRDefault="00BF6EA4" w:rsidP="00344C12">
            <w:pPr>
              <w:rPr>
                <w:sz w:val="20"/>
                <w:szCs w:val="20"/>
              </w:rPr>
            </w:pPr>
            <w:r w:rsidRPr="00BF6EA4">
              <w:rPr>
                <w:sz w:val="20"/>
                <w:szCs w:val="20"/>
              </w:rPr>
              <w:t>OBD Requirements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1048.205(n)</w:t>
            </w:r>
          </w:p>
        </w:tc>
        <w:tc>
          <w:tcPr>
            <w:tcW w:w="0" w:type="auto"/>
          </w:tcPr>
          <w:p w:rsidR="00BF6EA4" w:rsidRPr="00BF6EA4" w:rsidRDefault="00BF6EA4" w:rsidP="00344C12">
            <w:pPr>
              <w:rPr>
                <w:sz w:val="20"/>
                <w:szCs w:val="20"/>
              </w:rPr>
            </w:pPr>
            <w:r w:rsidRPr="00BF6EA4">
              <w:rPr>
                <w:sz w:val="20"/>
                <w:szCs w:val="20"/>
              </w:rPr>
              <w:t>Deterioration Factors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r w:rsidRPr="00BF6EA4">
              <w:rPr>
                <w:sz w:val="20"/>
                <w:szCs w:val="20"/>
              </w:rPr>
              <w:t>Except as indicated in 60.4247(c).</w:t>
            </w:r>
          </w:p>
        </w:tc>
      </w:tr>
      <w:tr w:rsidR="00BF6EA4" w:rsidRPr="00BF6EA4" w:rsidTr="00344C12">
        <w:tc>
          <w:tcPr>
            <w:tcW w:w="0" w:type="auto"/>
          </w:tcPr>
          <w:p w:rsidR="00BF6EA4" w:rsidRPr="00BF6EA4" w:rsidRDefault="00BF6EA4" w:rsidP="00344C12">
            <w:pPr>
              <w:rPr>
                <w:sz w:val="20"/>
                <w:szCs w:val="20"/>
              </w:rPr>
            </w:pPr>
            <w:r w:rsidRPr="00BF6EA4">
              <w:rPr>
                <w:sz w:val="20"/>
                <w:szCs w:val="20"/>
              </w:rPr>
              <w:t>1048.205(p)(1)</w:t>
            </w:r>
          </w:p>
        </w:tc>
        <w:tc>
          <w:tcPr>
            <w:tcW w:w="0" w:type="auto"/>
          </w:tcPr>
          <w:p w:rsidR="00BF6EA4" w:rsidRPr="00BF6EA4" w:rsidRDefault="00BF6EA4" w:rsidP="00344C12">
            <w:pPr>
              <w:rPr>
                <w:sz w:val="20"/>
                <w:szCs w:val="20"/>
              </w:rPr>
            </w:pPr>
            <w:r w:rsidRPr="00BF6EA4">
              <w:rPr>
                <w:sz w:val="20"/>
                <w:szCs w:val="20"/>
              </w:rPr>
              <w:t>Deterioration Factor Discussion</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1048.205(p)(2)</w:t>
            </w:r>
          </w:p>
        </w:tc>
        <w:tc>
          <w:tcPr>
            <w:tcW w:w="0" w:type="auto"/>
          </w:tcPr>
          <w:p w:rsidR="00BF6EA4" w:rsidRPr="00BF6EA4" w:rsidRDefault="00BF6EA4" w:rsidP="00344C12">
            <w:pPr>
              <w:rPr>
                <w:sz w:val="20"/>
                <w:szCs w:val="20"/>
              </w:rPr>
            </w:pPr>
            <w:r w:rsidRPr="00BF6EA4">
              <w:rPr>
                <w:sz w:val="20"/>
                <w:szCs w:val="20"/>
              </w:rPr>
              <w:t>Liquid Fuels as they require</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1048.240(b)(c)(d)</w:t>
            </w:r>
          </w:p>
        </w:tc>
        <w:tc>
          <w:tcPr>
            <w:tcW w:w="0" w:type="auto"/>
          </w:tcPr>
          <w:p w:rsidR="00BF6EA4" w:rsidRPr="00BF6EA4" w:rsidRDefault="00BF6EA4" w:rsidP="00344C12">
            <w:pPr>
              <w:rPr>
                <w:sz w:val="20"/>
                <w:szCs w:val="20"/>
              </w:rPr>
            </w:pPr>
            <w:r w:rsidRPr="00BF6EA4">
              <w:rPr>
                <w:sz w:val="20"/>
                <w:szCs w:val="20"/>
              </w:rPr>
              <w:t>Deterioration Factors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1048 subpart D</w:t>
            </w:r>
          </w:p>
        </w:tc>
        <w:tc>
          <w:tcPr>
            <w:tcW w:w="0" w:type="auto"/>
          </w:tcPr>
          <w:p w:rsidR="00BF6EA4" w:rsidRPr="00BF6EA4" w:rsidRDefault="00BF6EA4" w:rsidP="00344C12">
            <w:pPr>
              <w:rPr>
                <w:sz w:val="20"/>
                <w:szCs w:val="20"/>
              </w:rPr>
            </w:pPr>
            <w:r w:rsidRPr="00BF6EA4">
              <w:rPr>
                <w:sz w:val="20"/>
                <w:szCs w:val="20"/>
              </w:rPr>
              <w:t>Testing Production-Line Engines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1048 subpart E</w:t>
            </w:r>
          </w:p>
        </w:tc>
        <w:tc>
          <w:tcPr>
            <w:tcW w:w="0" w:type="auto"/>
          </w:tcPr>
          <w:p w:rsidR="00BF6EA4" w:rsidRPr="00BF6EA4" w:rsidRDefault="00BF6EA4" w:rsidP="00344C12">
            <w:pPr>
              <w:rPr>
                <w:sz w:val="20"/>
                <w:szCs w:val="20"/>
              </w:rPr>
            </w:pPr>
            <w:r w:rsidRPr="00BF6EA4">
              <w:rPr>
                <w:sz w:val="20"/>
                <w:szCs w:val="20"/>
              </w:rPr>
              <w:t>Testing In-Use Engines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1048 subpart F</w:t>
            </w:r>
          </w:p>
        </w:tc>
        <w:tc>
          <w:tcPr>
            <w:tcW w:w="0" w:type="auto"/>
          </w:tcPr>
          <w:p w:rsidR="00BF6EA4" w:rsidRPr="00BF6EA4" w:rsidRDefault="00BF6EA4" w:rsidP="00344C12">
            <w:pPr>
              <w:rPr>
                <w:sz w:val="20"/>
                <w:szCs w:val="20"/>
              </w:rPr>
            </w:pPr>
            <w:r w:rsidRPr="00BF6EA4">
              <w:rPr>
                <w:sz w:val="20"/>
                <w:szCs w:val="20"/>
              </w:rPr>
              <w:t>Test Procedures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1065.5(a)(4)</w:t>
            </w:r>
          </w:p>
        </w:tc>
        <w:tc>
          <w:tcPr>
            <w:tcW w:w="0" w:type="auto"/>
          </w:tcPr>
          <w:p w:rsidR="00BF6EA4" w:rsidRPr="00BF6EA4" w:rsidRDefault="00BF6EA4" w:rsidP="00344C12">
            <w:pPr>
              <w:rPr>
                <w:sz w:val="20"/>
                <w:szCs w:val="20"/>
              </w:rPr>
            </w:pPr>
            <w:r w:rsidRPr="00BF6EA4">
              <w:rPr>
                <w:sz w:val="20"/>
                <w:szCs w:val="20"/>
              </w:rPr>
              <w:t>Raw sampling (refers reader back to the specific emissions regulation for guidance)</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1048 subpart G</w:t>
            </w:r>
          </w:p>
        </w:tc>
        <w:tc>
          <w:tcPr>
            <w:tcW w:w="0" w:type="auto"/>
          </w:tcPr>
          <w:p w:rsidR="00BF6EA4" w:rsidRPr="00BF6EA4" w:rsidRDefault="00BF6EA4" w:rsidP="00344C12">
            <w:pPr>
              <w:rPr>
                <w:sz w:val="20"/>
                <w:szCs w:val="20"/>
              </w:rPr>
            </w:pPr>
            <w:r w:rsidRPr="00BF6EA4">
              <w:rPr>
                <w:sz w:val="20"/>
                <w:szCs w:val="20"/>
              </w:rPr>
              <w:t>Compliance Provisions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1048 subpart H</w:t>
            </w:r>
          </w:p>
        </w:tc>
        <w:tc>
          <w:tcPr>
            <w:tcW w:w="0" w:type="auto"/>
          </w:tcPr>
          <w:p w:rsidR="00BF6EA4" w:rsidRPr="00BF6EA4" w:rsidRDefault="00BF6EA4" w:rsidP="00344C12">
            <w:pPr>
              <w:rPr>
                <w:sz w:val="20"/>
                <w:szCs w:val="20"/>
              </w:rPr>
            </w:pPr>
            <w:r w:rsidRPr="00BF6EA4">
              <w:rPr>
                <w:sz w:val="20"/>
                <w:szCs w:val="20"/>
              </w:rPr>
              <w:t>Reserved</w:t>
            </w:r>
          </w:p>
        </w:tc>
        <w:tc>
          <w:tcPr>
            <w:tcW w:w="0" w:type="auto"/>
          </w:tcPr>
          <w:p w:rsidR="00BF6EA4" w:rsidRPr="00BF6EA4" w:rsidRDefault="00BF6EA4" w:rsidP="00344C12">
            <w:pPr>
              <w:rPr>
                <w:sz w:val="20"/>
                <w:szCs w:val="20"/>
              </w:rPr>
            </w:pP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1048 subpart I</w:t>
            </w:r>
          </w:p>
        </w:tc>
        <w:tc>
          <w:tcPr>
            <w:tcW w:w="0" w:type="auto"/>
          </w:tcPr>
          <w:p w:rsidR="00BF6EA4" w:rsidRPr="00BF6EA4" w:rsidRDefault="00BF6EA4" w:rsidP="00344C12">
            <w:pPr>
              <w:rPr>
                <w:sz w:val="20"/>
                <w:szCs w:val="20"/>
              </w:rPr>
            </w:pPr>
            <w:r w:rsidRPr="00BF6EA4">
              <w:rPr>
                <w:sz w:val="20"/>
                <w:szCs w:val="20"/>
              </w:rPr>
              <w:t>Definitions and Other Reference Information</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1048 appendix I and II</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1065 (all subparts)</w:t>
            </w:r>
          </w:p>
        </w:tc>
        <w:tc>
          <w:tcPr>
            <w:tcW w:w="0" w:type="auto"/>
          </w:tcPr>
          <w:p w:rsidR="00BF6EA4" w:rsidRPr="00BF6EA4" w:rsidRDefault="00BF6EA4" w:rsidP="00344C12">
            <w:pPr>
              <w:rPr>
                <w:sz w:val="20"/>
                <w:szCs w:val="20"/>
              </w:rPr>
            </w:pPr>
            <w:r w:rsidRPr="00BF6EA4">
              <w:rPr>
                <w:sz w:val="20"/>
                <w:szCs w:val="20"/>
              </w:rPr>
              <w:t>Engine Testing Procedures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r w:rsidRPr="00BF6EA4">
              <w:rPr>
                <w:sz w:val="20"/>
                <w:szCs w:val="20"/>
              </w:rPr>
              <w:t>Except for the specific section below.</w:t>
            </w:r>
          </w:p>
        </w:tc>
      </w:tr>
      <w:tr w:rsidR="00BF6EA4" w:rsidRPr="00BF6EA4" w:rsidTr="00344C12">
        <w:tc>
          <w:tcPr>
            <w:tcW w:w="0" w:type="auto"/>
          </w:tcPr>
          <w:p w:rsidR="00BF6EA4" w:rsidRPr="00BF6EA4" w:rsidRDefault="00BF6EA4" w:rsidP="00344C12">
            <w:pPr>
              <w:rPr>
                <w:sz w:val="20"/>
                <w:szCs w:val="20"/>
              </w:rPr>
            </w:pPr>
            <w:r w:rsidRPr="00BF6EA4">
              <w:rPr>
                <w:sz w:val="20"/>
                <w:szCs w:val="20"/>
              </w:rPr>
              <w:t>1065.715</w:t>
            </w:r>
          </w:p>
        </w:tc>
        <w:tc>
          <w:tcPr>
            <w:tcW w:w="0" w:type="auto"/>
          </w:tcPr>
          <w:p w:rsidR="00BF6EA4" w:rsidRPr="00BF6EA4" w:rsidRDefault="00BF6EA4" w:rsidP="00344C12">
            <w:pPr>
              <w:rPr>
                <w:sz w:val="20"/>
                <w:szCs w:val="20"/>
              </w:rPr>
            </w:pPr>
            <w:r w:rsidRPr="00BF6EA4">
              <w:rPr>
                <w:sz w:val="20"/>
                <w:szCs w:val="20"/>
              </w:rPr>
              <w:t>Test Fuel Specifications for Natural Gas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1068 (all subparts)</w:t>
            </w:r>
          </w:p>
        </w:tc>
        <w:tc>
          <w:tcPr>
            <w:tcW w:w="0" w:type="auto"/>
          </w:tcPr>
          <w:p w:rsidR="00BF6EA4" w:rsidRPr="00BF6EA4" w:rsidRDefault="00BF6EA4" w:rsidP="00344C12">
            <w:pPr>
              <w:rPr>
                <w:sz w:val="20"/>
                <w:szCs w:val="20"/>
              </w:rPr>
            </w:pPr>
            <w:r w:rsidRPr="00BF6EA4">
              <w:rPr>
                <w:sz w:val="20"/>
                <w:szCs w:val="20"/>
              </w:rPr>
              <w:t>General Compliance Provisions for Nonroad Programs</w:t>
            </w:r>
          </w:p>
        </w:tc>
        <w:tc>
          <w:tcPr>
            <w:tcW w:w="0" w:type="auto"/>
          </w:tcPr>
          <w:p w:rsidR="00BF6EA4" w:rsidRPr="00BF6EA4" w:rsidRDefault="00BF6EA4" w:rsidP="00344C12">
            <w:pPr>
              <w:rPr>
                <w:sz w:val="20"/>
                <w:szCs w:val="20"/>
              </w:rPr>
            </w:pPr>
            <w:r w:rsidRPr="00BF6EA4">
              <w:rPr>
                <w:sz w:val="20"/>
                <w:szCs w:val="20"/>
              </w:rPr>
              <w:t>Yes</w:t>
            </w:r>
          </w:p>
        </w:tc>
        <w:tc>
          <w:tcPr>
            <w:tcW w:w="0" w:type="auto"/>
          </w:tcPr>
          <w:p w:rsidR="00BF6EA4" w:rsidRPr="00BF6EA4" w:rsidRDefault="00BF6EA4" w:rsidP="00344C12">
            <w:pPr>
              <w:rPr>
                <w:sz w:val="20"/>
                <w:szCs w:val="20"/>
              </w:rPr>
            </w:pPr>
            <w:r w:rsidRPr="00BF6EA4">
              <w:rPr>
                <w:sz w:val="20"/>
                <w:szCs w:val="20"/>
              </w:rPr>
              <w:t>Except for the specific sections below.</w:t>
            </w:r>
          </w:p>
        </w:tc>
      </w:tr>
      <w:tr w:rsidR="00BF6EA4" w:rsidRPr="00BF6EA4" w:rsidTr="00344C12">
        <w:tc>
          <w:tcPr>
            <w:tcW w:w="0" w:type="auto"/>
          </w:tcPr>
          <w:p w:rsidR="00BF6EA4" w:rsidRPr="00BF6EA4" w:rsidRDefault="00BF6EA4" w:rsidP="00344C12">
            <w:pPr>
              <w:rPr>
                <w:sz w:val="20"/>
                <w:szCs w:val="20"/>
              </w:rPr>
            </w:pPr>
            <w:r w:rsidRPr="00BF6EA4">
              <w:rPr>
                <w:sz w:val="20"/>
                <w:szCs w:val="20"/>
              </w:rPr>
              <w:t>1068.245</w:t>
            </w:r>
          </w:p>
        </w:tc>
        <w:tc>
          <w:tcPr>
            <w:tcW w:w="0" w:type="auto"/>
          </w:tcPr>
          <w:p w:rsidR="00BF6EA4" w:rsidRPr="00BF6EA4" w:rsidRDefault="00BF6EA4" w:rsidP="00344C12">
            <w:pPr>
              <w:rPr>
                <w:sz w:val="20"/>
                <w:szCs w:val="20"/>
              </w:rPr>
            </w:pPr>
            <w:r w:rsidRPr="00BF6EA4">
              <w:rPr>
                <w:sz w:val="20"/>
                <w:szCs w:val="20"/>
              </w:rPr>
              <w:t>Hardship Provisions for Unusual Circumstances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1068.250</w:t>
            </w:r>
          </w:p>
        </w:tc>
        <w:tc>
          <w:tcPr>
            <w:tcW w:w="0" w:type="auto"/>
          </w:tcPr>
          <w:p w:rsidR="00BF6EA4" w:rsidRPr="00BF6EA4" w:rsidRDefault="00BF6EA4" w:rsidP="00344C12">
            <w:pPr>
              <w:rPr>
                <w:sz w:val="20"/>
                <w:szCs w:val="20"/>
              </w:rPr>
            </w:pPr>
            <w:r w:rsidRPr="00BF6EA4">
              <w:rPr>
                <w:sz w:val="20"/>
                <w:szCs w:val="20"/>
              </w:rPr>
              <w:t>Hardship Provisions for Small-Volume Manufacturers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r w:rsidR="00BF6EA4" w:rsidRPr="00BF6EA4" w:rsidTr="00344C12">
        <w:tc>
          <w:tcPr>
            <w:tcW w:w="0" w:type="auto"/>
          </w:tcPr>
          <w:p w:rsidR="00BF6EA4" w:rsidRPr="00BF6EA4" w:rsidRDefault="00BF6EA4" w:rsidP="00344C12">
            <w:pPr>
              <w:rPr>
                <w:sz w:val="20"/>
                <w:szCs w:val="20"/>
              </w:rPr>
            </w:pPr>
            <w:r w:rsidRPr="00BF6EA4">
              <w:rPr>
                <w:sz w:val="20"/>
                <w:szCs w:val="20"/>
              </w:rPr>
              <w:t>1068.255</w:t>
            </w:r>
          </w:p>
        </w:tc>
        <w:tc>
          <w:tcPr>
            <w:tcW w:w="0" w:type="auto"/>
          </w:tcPr>
          <w:p w:rsidR="00BF6EA4" w:rsidRPr="00BF6EA4" w:rsidRDefault="00BF6EA4" w:rsidP="00344C12">
            <w:pPr>
              <w:rPr>
                <w:sz w:val="20"/>
                <w:szCs w:val="20"/>
              </w:rPr>
            </w:pPr>
            <w:r w:rsidRPr="00BF6EA4">
              <w:rPr>
                <w:sz w:val="20"/>
                <w:szCs w:val="20"/>
              </w:rPr>
              <w:t>Hardship Provisions for Equipment Manufacturers and Secondary Engine Manufacturers</w:t>
            </w:r>
          </w:p>
        </w:tc>
        <w:tc>
          <w:tcPr>
            <w:tcW w:w="0" w:type="auto"/>
          </w:tcPr>
          <w:p w:rsidR="00BF6EA4" w:rsidRPr="00BF6EA4" w:rsidRDefault="00BF6EA4" w:rsidP="00344C12">
            <w:pPr>
              <w:rPr>
                <w:sz w:val="20"/>
                <w:szCs w:val="20"/>
              </w:rPr>
            </w:pPr>
            <w:r w:rsidRPr="00BF6EA4">
              <w:rPr>
                <w:sz w:val="20"/>
                <w:szCs w:val="20"/>
              </w:rPr>
              <w:t>No</w:t>
            </w:r>
          </w:p>
        </w:tc>
        <w:tc>
          <w:tcPr>
            <w:tcW w:w="0" w:type="auto"/>
          </w:tcPr>
          <w:p w:rsidR="00BF6EA4" w:rsidRPr="00BF6EA4" w:rsidRDefault="00BF6EA4" w:rsidP="00344C12">
            <w:pPr>
              <w:rPr>
                <w:sz w:val="20"/>
                <w:szCs w:val="20"/>
              </w:rPr>
            </w:pPr>
          </w:p>
        </w:tc>
      </w:tr>
    </w:tbl>
    <w:p w:rsidR="00BF6EA4" w:rsidRPr="00BF6EA4" w:rsidRDefault="00BF6EA4" w:rsidP="00BF6EA4">
      <w:pPr>
        <w:spacing w:after="120"/>
        <w:rPr>
          <w:sz w:val="20"/>
          <w:szCs w:val="20"/>
        </w:rPr>
      </w:pPr>
    </w:p>
    <w:p w:rsidR="00F21C08" w:rsidRPr="00BF6EA4" w:rsidRDefault="00F21C08">
      <w:pPr>
        <w:rPr>
          <w:sz w:val="20"/>
          <w:szCs w:val="20"/>
        </w:rPr>
      </w:pPr>
    </w:p>
    <w:sectPr w:rsidR="00F21C08" w:rsidRPr="00BF6EA4" w:rsidSect="002D4730">
      <w:headerReference w:type="even" r:id="rId12"/>
      <w:headerReference w:type="default" r:id="rId13"/>
      <w:footerReference w:type="even" r:id="rId14"/>
      <w:footerReference w:type="default" r:id="rId15"/>
      <w:headerReference w:type="first" r:id="rId16"/>
      <w:footerReference w:type="first" r:id="rId17"/>
      <w:pgSz w:w="12240" w:h="15840" w:code="1"/>
      <w:pgMar w:top="720" w:right="1080" w:bottom="720" w:left="1080" w:header="547"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B4A" w:rsidRDefault="000D4B4A" w:rsidP="00BF6EA4">
      <w:r>
        <w:separator/>
      </w:r>
    </w:p>
  </w:endnote>
  <w:endnote w:type="continuationSeparator" w:id="0">
    <w:p w:rsidR="000D4B4A" w:rsidRDefault="000D4B4A" w:rsidP="00BF6E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A2" w:rsidRDefault="00420D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C12" w:rsidRPr="006241BD" w:rsidRDefault="00344C12" w:rsidP="00BF6EA4">
    <w:pPr>
      <w:pBdr>
        <w:top w:val="single" w:sz="8" w:space="1" w:color="auto"/>
      </w:pBdr>
      <w:tabs>
        <w:tab w:val="left" w:pos="6300"/>
      </w:tabs>
      <w:spacing w:before="240"/>
      <w:rPr>
        <w:rStyle w:val="PageNumber"/>
        <w:sz w:val="22"/>
        <w:szCs w:val="22"/>
      </w:rPr>
    </w:pPr>
    <w:r w:rsidRPr="006241BD">
      <w:rPr>
        <w:rStyle w:val="PageNumber"/>
        <w:sz w:val="22"/>
        <w:szCs w:val="22"/>
      </w:rPr>
      <w:t>Miami-Dade Water and Sewer Department</w:t>
    </w:r>
    <w:r w:rsidRPr="006241BD">
      <w:rPr>
        <w:rStyle w:val="PageNumber"/>
        <w:color w:val="FF0000"/>
        <w:sz w:val="22"/>
        <w:szCs w:val="22"/>
      </w:rPr>
      <w:tab/>
    </w:r>
    <w:r w:rsidRPr="006241BD">
      <w:rPr>
        <w:rStyle w:val="PageNumber"/>
        <w:sz w:val="22"/>
        <w:szCs w:val="22"/>
      </w:rPr>
      <w:t>Permit No.: 0250520-019-AC</w:t>
    </w:r>
  </w:p>
  <w:p w:rsidR="00344C12" w:rsidRPr="006241BD" w:rsidRDefault="00344C12" w:rsidP="00BF6EA4">
    <w:pPr>
      <w:tabs>
        <w:tab w:val="left" w:pos="6300"/>
      </w:tabs>
      <w:rPr>
        <w:rStyle w:val="PageNumber"/>
        <w:sz w:val="22"/>
        <w:szCs w:val="22"/>
      </w:rPr>
    </w:pPr>
    <w:r w:rsidRPr="006241BD">
      <w:rPr>
        <w:rStyle w:val="PageNumber"/>
        <w:sz w:val="22"/>
        <w:szCs w:val="22"/>
      </w:rPr>
      <w:t>South District WWTP</w:t>
    </w:r>
    <w:r w:rsidRPr="006241BD">
      <w:rPr>
        <w:rStyle w:val="PageNumber"/>
        <w:sz w:val="22"/>
        <w:szCs w:val="22"/>
      </w:rPr>
      <w:tab/>
    </w:r>
    <w:r w:rsidR="00420DA2" w:rsidRPr="00420DA2">
      <w:rPr>
        <w:sz w:val="22"/>
        <w:szCs w:val="22"/>
      </w:rPr>
      <w:t>Additional Digester Gas Engines</w:t>
    </w:r>
  </w:p>
  <w:p w:rsidR="00344C12" w:rsidRPr="006241BD" w:rsidRDefault="00344C12">
    <w:pPr>
      <w:pStyle w:val="Footer"/>
      <w:rPr>
        <w:sz w:val="22"/>
        <w:szCs w:val="22"/>
      </w:rPr>
    </w:pPr>
  </w:p>
  <w:p w:rsidR="00107B7C" w:rsidRPr="009065A6" w:rsidRDefault="00107B7C" w:rsidP="00107B7C">
    <w:pPr>
      <w:pStyle w:val="Footer"/>
      <w:tabs>
        <w:tab w:val="clear" w:pos="4320"/>
        <w:tab w:val="clear" w:pos="8640"/>
      </w:tabs>
      <w:jc w:val="center"/>
      <w:rPr>
        <w:sz w:val="20"/>
      </w:rPr>
    </w:pPr>
    <w:r w:rsidRPr="009065A6">
      <w:rPr>
        <w:sz w:val="20"/>
      </w:rPr>
      <w:t xml:space="preserve">Page </w:t>
    </w:r>
    <w:r>
      <w:rPr>
        <w:sz w:val="20"/>
      </w:rPr>
      <w:t>E</w:t>
    </w:r>
    <w:r w:rsidRPr="009065A6">
      <w:rPr>
        <w:sz w:val="20"/>
      </w:rPr>
      <w:t>-</w:t>
    </w:r>
    <w:r w:rsidR="004A3524" w:rsidRPr="009065A6">
      <w:rPr>
        <w:sz w:val="20"/>
      </w:rPr>
      <w:fldChar w:fldCharType="begin"/>
    </w:r>
    <w:r w:rsidRPr="009065A6">
      <w:rPr>
        <w:sz w:val="20"/>
      </w:rPr>
      <w:instrText xml:space="preserve"> PAGE  \* MERGEFORMAT </w:instrText>
    </w:r>
    <w:r w:rsidR="004A3524" w:rsidRPr="009065A6">
      <w:rPr>
        <w:sz w:val="20"/>
      </w:rPr>
      <w:fldChar w:fldCharType="separate"/>
    </w:r>
    <w:r w:rsidR="00FA7A65">
      <w:rPr>
        <w:noProof/>
        <w:sz w:val="20"/>
      </w:rPr>
      <w:t>14</w:t>
    </w:r>
    <w:r w:rsidR="004A3524" w:rsidRPr="009065A6">
      <w:rPr>
        <w:sz w:val="20"/>
      </w:rPr>
      <w:fldChar w:fldCharType="end"/>
    </w:r>
  </w:p>
  <w:p w:rsidR="00344C12" w:rsidRPr="00126AD3" w:rsidRDefault="00344C12" w:rsidP="00BF6EA4">
    <w:pPr>
      <w:pStyle w:val="Footer"/>
      <w:spacing w:before="240"/>
      <w:jc w:val="center"/>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C12" w:rsidRPr="006241BD" w:rsidRDefault="00344C12" w:rsidP="00DF5BFA">
    <w:pPr>
      <w:pBdr>
        <w:top w:val="single" w:sz="8" w:space="1" w:color="auto"/>
      </w:pBdr>
      <w:tabs>
        <w:tab w:val="left" w:pos="6300"/>
      </w:tabs>
      <w:spacing w:before="240"/>
      <w:rPr>
        <w:rStyle w:val="PageNumber"/>
        <w:sz w:val="22"/>
        <w:szCs w:val="22"/>
      </w:rPr>
    </w:pPr>
    <w:r w:rsidRPr="006241BD">
      <w:rPr>
        <w:rStyle w:val="PageNumber"/>
        <w:sz w:val="22"/>
        <w:szCs w:val="22"/>
      </w:rPr>
      <w:t>Miami-Dade Water and Sewer Department</w:t>
    </w:r>
    <w:r w:rsidRPr="006241BD">
      <w:rPr>
        <w:rStyle w:val="PageNumber"/>
        <w:color w:val="FF0000"/>
        <w:sz w:val="22"/>
        <w:szCs w:val="22"/>
      </w:rPr>
      <w:tab/>
    </w:r>
    <w:r w:rsidRPr="006241BD">
      <w:rPr>
        <w:rStyle w:val="PageNumber"/>
        <w:sz w:val="22"/>
        <w:szCs w:val="22"/>
      </w:rPr>
      <w:t>Permit No.: 0250520-019-AC</w:t>
    </w:r>
  </w:p>
  <w:p w:rsidR="00344C12" w:rsidRPr="006241BD" w:rsidRDefault="00344C12" w:rsidP="00DF5BFA">
    <w:pPr>
      <w:tabs>
        <w:tab w:val="left" w:pos="6300"/>
      </w:tabs>
      <w:rPr>
        <w:rStyle w:val="PageNumber"/>
        <w:sz w:val="22"/>
        <w:szCs w:val="22"/>
      </w:rPr>
    </w:pPr>
    <w:r w:rsidRPr="006241BD">
      <w:rPr>
        <w:rStyle w:val="PageNumber"/>
        <w:sz w:val="22"/>
        <w:szCs w:val="22"/>
      </w:rPr>
      <w:t>South District WWTP</w:t>
    </w:r>
    <w:r w:rsidRPr="006241BD">
      <w:rPr>
        <w:rStyle w:val="PageNumber"/>
        <w:sz w:val="22"/>
        <w:szCs w:val="22"/>
      </w:rPr>
      <w:tab/>
    </w:r>
    <w:r w:rsidR="00420DA2" w:rsidRPr="00420DA2">
      <w:rPr>
        <w:sz w:val="22"/>
        <w:szCs w:val="22"/>
      </w:rPr>
      <w:t>Additional Digester Gas Engines</w:t>
    </w:r>
  </w:p>
  <w:p w:rsidR="00107B7C" w:rsidRPr="009065A6" w:rsidRDefault="00107B7C" w:rsidP="00107B7C">
    <w:pPr>
      <w:pStyle w:val="Footer"/>
      <w:tabs>
        <w:tab w:val="clear" w:pos="4320"/>
        <w:tab w:val="clear" w:pos="8640"/>
      </w:tabs>
      <w:jc w:val="center"/>
      <w:rPr>
        <w:sz w:val="20"/>
      </w:rPr>
    </w:pPr>
    <w:r w:rsidRPr="009065A6">
      <w:rPr>
        <w:sz w:val="20"/>
      </w:rPr>
      <w:t xml:space="preserve">Page </w:t>
    </w:r>
    <w:r>
      <w:rPr>
        <w:sz w:val="20"/>
      </w:rPr>
      <w:t>E</w:t>
    </w:r>
    <w:r w:rsidRPr="009065A6">
      <w:rPr>
        <w:sz w:val="20"/>
      </w:rPr>
      <w:t>-</w:t>
    </w:r>
    <w:r w:rsidR="004A3524" w:rsidRPr="009065A6">
      <w:rPr>
        <w:sz w:val="20"/>
      </w:rPr>
      <w:fldChar w:fldCharType="begin"/>
    </w:r>
    <w:r w:rsidRPr="009065A6">
      <w:rPr>
        <w:sz w:val="20"/>
      </w:rPr>
      <w:instrText xml:space="preserve"> PAGE  \* MERGEFORMAT </w:instrText>
    </w:r>
    <w:r w:rsidR="004A3524" w:rsidRPr="009065A6">
      <w:rPr>
        <w:sz w:val="20"/>
      </w:rPr>
      <w:fldChar w:fldCharType="separate"/>
    </w:r>
    <w:r w:rsidR="00FA7A65">
      <w:rPr>
        <w:noProof/>
        <w:sz w:val="20"/>
      </w:rPr>
      <w:t>1</w:t>
    </w:r>
    <w:r w:rsidR="004A3524" w:rsidRPr="009065A6">
      <w:rPr>
        <w:sz w:val="20"/>
      </w:rPr>
      <w:fldChar w:fldCharType="end"/>
    </w:r>
  </w:p>
  <w:p w:rsidR="00344C12" w:rsidRPr="00344C12" w:rsidRDefault="00344C12" w:rsidP="00344C12">
    <w:pPr>
      <w:pStyle w:val="Footer"/>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B4A" w:rsidRDefault="000D4B4A" w:rsidP="00BF6EA4">
      <w:r>
        <w:separator/>
      </w:r>
    </w:p>
  </w:footnote>
  <w:footnote w:type="continuationSeparator" w:id="0">
    <w:p w:rsidR="000D4B4A" w:rsidRDefault="000D4B4A" w:rsidP="00BF6E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A2" w:rsidRDefault="00420DA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C12" w:rsidRPr="006241BD" w:rsidRDefault="00F20925" w:rsidP="00344C12">
    <w:pPr>
      <w:pStyle w:val="Header"/>
      <w:pBdr>
        <w:bottom w:val="single" w:sz="4" w:space="1" w:color="auto"/>
      </w:pBdr>
      <w:jc w:val="center"/>
      <w:rPr>
        <w:b/>
        <w:caps/>
        <w:sz w:val="22"/>
        <w:szCs w:val="22"/>
      </w:rPr>
    </w:pPr>
    <w:r w:rsidRPr="006241BD">
      <w:rPr>
        <w:b/>
        <w:caps/>
        <w:sz w:val="22"/>
        <w:szCs w:val="22"/>
      </w:rPr>
      <w:t xml:space="preserve">SECTION 4.  </w:t>
    </w:r>
    <w:r w:rsidR="00344C12" w:rsidRPr="006241BD">
      <w:rPr>
        <w:b/>
        <w:caps/>
        <w:sz w:val="22"/>
        <w:szCs w:val="22"/>
      </w:rPr>
      <w:t>APPENDIX E</w:t>
    </w:r>
  </w:p>
  <w:p w:rsidR="00344C12" w:rsidRPr="006241BD" w:rsidRDefault="00344C12" w:rsidP="00344C12">
    <w:pPr>
      <w:pStyle w:val="Header"/>
      <w:pBdr>
        <w:bottom w:val="single" w:sz="4" w:space="1" w:color="auto"/>
      </w:pBdr>
      <w:jc w:val="center"/>
      <w:rPr>
        <w:b/>
        <w:caps/>
        <w:sz w:val="22"/>
        <w:szCs w:val="22"/>
      </w:rPr>
    </w:pPr>
    <w:r w:rsidRPr="006241BD">
      <w:rPr>
        <w:b/>
        <w:caps/>
        <w:sz w:val="22"/>
        <w:szCs w:val="22"/>
      </w:rPr>
      <w:t xml:space="preserve">APPLICABLE partS OF NSPS Subpart JJJJ </w:t>
    </w:r>
  </w:p>
  <w:p w:rsidR="00344C12" w:rsidRDefault="00344C1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C12" w:rsidRPr="006241BD" w:rsidRDefault="00F20925" w:rsidP="00E106FD">
    <w:pPr>
      <w:pStyle w:val="Header"/>
      <w:pBdr>
        <w:bottom w:val="single" w:sz="4" w:space="1" w:color="auto"/>
      </w:pBdr>
      <w:jc w:val="center"/>
      <w:rPr>
        <w:sz w:val="22"/>
        <w:szCs w:val="22"/>
      </w:rPr>
    </w:pPr>
    <w:r w:rsidRPr="006241BD">
      <w:rPr>
        <w:sz w:val="22"/>
        <w:szCs w:val="22"/>
      </w:rPr>
      <w:t xml:space="preserve">SECTION 4. </w:t>
    </w:r>
    <w:r w:rsidR="00344C12" w:rsidRPr="006241BD">
      <w:rPr>
        <w:sz w:val="22"/>
        <w:szCs w:val="22"/>
      </w:rPr>
      <w:t>APPENDIX E</w:t>
    </w:r>
  </w:p>
  <w:p w:rsidR="00344C12" w:rsidRPr="006241BD" w:rsidRDefault="00344C12" w:rsidP="00E106FD">
    <w:pPr>
      <w:pStyle w:val="Header"/>
      <w:pBdr>
        <w:bottom w:val="single" w:sz="4" w:space="1" w:color="auto"/>
      </w:pBdr>
      <w:jc w:val="center"/>
      <w:rPr>
        <w:b/>
        <w:caps/>
        <w:sz w:val="22"/>
        <w:szCs w:val="22"/>
      </w:rPr>
    </w:pPr>
    <w:r w:rsidRPr="006241BD">
      <w:rPr>
        <w:b/>
        <w:caps/>
        <w:sz w:val="22"/>
        <w:szCs w:val="22"/>
      </w:rPr>
      <w:t xml:space="preserve">APPLICABLE partS OF NSPS Subpart JJJJ </w:t>
    </w:r>
  </w:p>
  <w:p w:rsidR="00344C12" w:rsidRDefault="00344C12" w:rsidP="00E106FD">
    <w:pPr>
      <w:pStyle w:val="Header"/>
      <w:pBdr>
        <w:bottom w:val="single" w:sz="4" w:space="1" w:color="auto"/>
      </w:pBd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characterSpacingControl w:val="doNotCompress"/>
  <w:hdrShapeDefaults>
    <o:shapedefaults v:ext="edit" spidmax="24578"/>
  </w:hdrShapeDefaults>
  <w:footnotePr>
    <w:footnote w:id="-1"/>
    <w:footnote w:id="0"/>
  </w:footnotePr>
  <w:endnotePr>
    <w:endnote w:id="-1"/>
    <w:endnote w:id="0"/>
  </w:endnotePr>
  <w:compat/>
  <w:rsids>
    <w:rsidRoot w:val="00BF6EA4"/>
    <w:rsid w:val="00084568"/>
    <w:rsid w:val="000D4B4A"/>
    <w:rsid w:val="00107B7C"/>
    <w:rsid w:val="001B4203"/>
    <w:rsid w:val="001E3718"/>
    <w:rsid w:val="002D4730"/>
    <w:rsid w:val="00344C12"/>
    <w:rsid w:val="00420DA2"/>
    <w:rsid w:val="004A3524"/>
    <w:rsid w:val="004D224A"/>
    <w:rsid w:val="004F77E9"/>
    <w:rsid w:val="00557C8C"/>
    <w:rsid w:val="005A3936"/>
    <w:rsid w:val="006241BD"/>
    <w:rsid w:val="00653B51"/>
    <w:rsid w:val="0066414A"/>
    <w:rsid w:val="00794E8A"/>
    <w:rsid w:val="007F6866"/>
    <w:rsid w:val="00897B50"/>
    <w:rsid w:val="008B1B31"/>
    <w:rsid w:val="00917C36"/>
    <w:rsid w:val="00A250A8"/>
    <w:rsid w:val="00A3632D"/>
    <w:rsid w:val="00B85D32"/>
    <w:rsid w:val="00B9167E"/>
    <w:rsid w:val="00BD2DFC"/>
    <w:rsid w:val="00BF6EA4"/>
    <w:rsid w:val="00C6574C"/>
    <w:rsid w:val="00C8690B"/>
    <w:rsid w:val="00D80CEE"/>
    <w:rsid w:val="00DA0219"/>
    <w:rsid w:val="00DD3437"/>
    <w:rsid w:val="00DF5BFA"/>
    <w:rsid w:val="00E106FD"/>
    <w:rsid w:val="00E6361E"/>
    <w:rsid w:val="00F20925"/>
    <w:rsid w:val="00F21C08"/>
    <w:rsid w:val="00F90773"/>
    <w:rsid w:val="00FA7A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EA4"/>
    <w:pPr>
      <w:spacing w:after="0" w:line="240" w:lineRule="auto"/>
    </w:pPr>
    <w:rPr>
      <w:rFonts w:ascii="Times New Roman" w:eastAsia="Times New Roman" w:hAnsi="Times New Roman" w:cs="Times New Roman"/>
      <w:sz w:val="24"/>
      <w:szCs w:val="24"/>
    </w:rPr>
  </w:style>
  <w:style w:type="paragraph" w:styleId="Heading5">
    <w:name w:val="heading 5"/>
    <w:basedOn w:val="Normal"/>
    <w:link w:val="Heading5Char"/>
    <w:qFormat/>
    <w:rsid w:val="00BF6EA4"/>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F6EA4"/>
    <w:rPr>
      <w:rFonts w:ascii="Times New Roman" w:eastAsia="Times New Roman" w:hAnsi="Times New Roman" w:cs="Times New Roman"/>
      <w:b/>
      <w:bCs/>
      <w:sz w:val="20"/>
      <w:szCs w:val="20"/>
    </w:rPr>
  </w:style>
  <w:style w:type="character" w:customStyle="1" w:styleId="updatebodytest1">
    <w:name w:val="updatebodytest1"/>
    <w:basedOn w:val="DefaultParagraphFont"/>
    <w:rsid w:val="00BF6EA4"/>
    <w:rPr>
      <w:rFonts w:ascii="Arial" w:hAnsi="Arial" w:cs="Arial" w:hint="default"/>
      <w:b w:val="0"/>
      <w:bCs w:val="0"/>
      <w:i w:val="0"/>
      <w:iCs w:val="0"/>
      <w:smallCaps w:val="0"/>
      <w:sz w:val="18"/>
      <w:szCs w:val="18"/>
    </w:rPr>
  </w:style>
  <w:style w:type="paragraph" w:styleId="NormalWeb">
    <w:name w:val="Normal (Web)"/>
    <w:basedOn w:val="Normal"/>
    <w:rsid w:val="00BF6EA4"/>
    <w:pPr>
      <w:spacing w:before="100" w:beforeAutospacing="1" w:after="100" w:afterAutospacing="1"/>
    </w:pPr>
  </w:style>
  <w:style w:type="paragraph" w:customStyle="1" w:styleId="tablenote">
    <w:name w:val="table_note"/>
    <w:basedOn w:val="Normal"/>
    <w:rsid w:val="00BF6EA4"/>
    <w:pPr>
      <w:spacing w:before="100" w:beforeAutospacing="1" w:after="100" w:afterAutospacing="1"/>
    </w:pPr>
  </w:style>
  <w:style w:type="paragraph" w:styleId="Header">
    <w:name w:val="header"/>
    <w:basedOn w:val="Normal"/>
    <w:link w:val="HeaderChar"/>
    <w:rsid w:val="00BF6EA4"/>
    <w:pPr>
      <w:tabs>
        <w:tab w:val="center" w:pos="4320"/>
        <w:tab w:val="right" w:pos="8640"/>
      </w:tabs>
    </w:pPr>
  </w:style>
  <w:style w:type="character" w:customStyle="1" w:styleId="HeaderChar">
    <w:name w:val="Header Char"/>
    <w:basedOn w:val="DefaultParagraphFont"/>
    <w:link w:val="Header"/>
    <w:rsid w:val="00BF6EA4"/>
    <w:rPr>
      <w:rFonts w:ascii="Times New Roman" w:eastAsia="Times New Roman" w:hAnsi="Times New Roman" w:cs="Times New Roman"/>
      <w:sz w:val="24"/>
      <w:szCs w:val="24"/>
    </w:rPr>
  </w:style>
  <w:style w:type="paragraph" w:styleId="Footer">
    <w:name w:val="footer"/>
    <w:basedOn w:val="Normal"/>
    <w:link w:val="FooterChar"/>
    <w:uiPriority w:val="99"/>
    <w:rsid w:val="00BF6EA4"/>
    <w:pPr>
      <w:tabs>
        <w:tab w:val="center" w:pos="4320"/>
        <w:tab w:val="right" w:pos="8640"/>
      </w:tabs>
    </w:pPr>
  </w:style>
  <w:style w:type="character" w:customStyle="1" w:styleId="FooterChar">
    <w:name w:val="Footer Char"/>
    <w:basedOn w:val="DefaultParagraphFont"/>
    <w:link w:val="Footer"/>
    <w:uiPriority w:val="99"/>
    <w:rsid w:val="00BF6EA4"/>
    <w:rPr>
      <w:rFonts w:ascii="Times New Roman" w:eastAsia="Times New Roman" w:hAnsi="Times New Roman" w:cs="Times New Roman"/>
      <w:sz w:val="24"/>
      <w:szCs w:val="24"/>
    </w:rPr>
  </w:style>
  <w:style w:type="character" w:styleId="PageNumber">
    <w:name w:val="page number"/>
    <w:basedOn w:val="DefaultParagraphFont"/>
    <w:rsid w:val="00BF6EA4"/>
  </w:style>
  <w:style w:type="paragraph" w:customStyle="1" w:styleId="tabledescription">
    <w:name w:val="table_description"/>
    <w:basedOn w:val="Normal"/>
    <w:rsid w:val="00BF6EA4"/>
    <w:pPr>
      <w:spacing w:before="100" w:beforeAutospacing="1" w:after="100" w:afterAutospacing="1"/>
      <w:jc w:val="center"/>
    </w:pPr>
  </w:style>
  <w:style w:type="character" w:styleId="Emphasis">
    <w:name w:val="Emphasis"/>
    <w:basedOn w:val="DefaultParagraphFont"/>
    <w:qFormat/>
    <w:rsid w:val="00BF6EA4"/>
    <w:rPr>
      <w:i/>
      <w:iCs/>
    </w:rPr>
  </w:style>
  <w:style w:type="paragraph" w:styleId="BalloonText">
    <w:name w:val="Balloon Text"/>
    <w:basedOn w:val="Normal"/>
    <w:link w:val="BalloonTextChar"/>
    <w:uiPriority w:val="99"/>
    <w:semiHidden/>
    <w:unhideWhenUsed/>
    <w:rsid w:val="00BF6EA4"/>
    <w:rPr>
      <w:rFonts w:ascii="Tahoma" w:hAnsi="Tahoma" w:cs="Tahoma"/>
      <w:sz w:val="16"/>
      <w:szCs w:val="16"/>
    </w:rPr>
  </w:style>
  <w:style w:type="character" w:customStyle="1" w:styleId="BalloonTextChar">
    <w:name w:val="Balloon Text Char"/>
    <w:basedOn w:val="DefaultParagraphFont"/>
    <w:link w:val="BalloonText"/>
    <w:uiPriority w:val="99"/>
    <w:semiHidden/>
    <w:rsid w:val="00BF6EA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16</Pages>
  <Words>7608</Words>
  <Characters>43367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Hoefert_L</cp:lastModifiedBy>
  <cp:revision>18</cp:revision>
  <dcterms:created xsi:type="dcterms:W3CDTF">2012-03-13T13:37:00Z</dcterms:created>
  <dcterms:modified xsi:type="dcterms:W3CDTF">2012-11-02T12:01:00Z</dcterms:modified>
</cp:coreProperties>
</file>